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EB" w:rsidRPr="00386972" w:rsidRDefault="00A87EEB" w:rsidP="00A87EEB">
      <w:pPr>
        <w:shd w:val="clear" w:color="auto" w:fill="FFFFFF"/>
        <w:spacing w:before="120"/>
        <w:jc w:val="center"/>
        <w:rPr>
          <w:rFonts w:ascii="Arial" w:eastAsia="Times New Roman" w:hAnsi="Arial" w:cs="Arial"/>
          <w:b/>
          <w:bCs/>
          <w:sz w:val="24"/>
          <w:szCs w:val="20"/>
        </w:rPr>
      </w:pPr>
      <w:r>
        <w:rPr>
          <w:rFonts w:ascii="Arial" w:eastAsia="Times New Roman" w:hAnsi="Arial" w:cs="Arial"/>
          <w:b/>
          <w:bCs/>
          <w:sz w:val="24"/>
          <w:szCs w:val="20"/>
        </w:rPr>
        <w:t>PHỤ LỤC XI</w:t>
      </w:r>
    </w:p>
    <w:p w:rsidR="00A87EEB" w:rsidRPr="00824803" w:rsidRDefault="00A87EEB" w:rsidP="00A87EEB">
      <w:pPr>
        <w:shd w:val="clear" w:color="auto" w:fill="FFFFFF"/>
        <w:spacing w:before="120"/>
        <w:jc w:val="center"/>
        <w:rPr>
          <w:rFonts w:ascii="Arial" w:eastAsia="Times New Roman" w:hAnsi="Arial" w:cs="Arial"/>
          <w:i/>
          <w:iCs/>
          <w:sz w:val="20"/>
          <w:szCs w:val="20"/>
        </w:rPr>
      </w:pPr>
      <w:r w:rsidRPr="00824803">
        <w:rPr>
          <w:rFonts w:ascii="Arial" w:eastAsia="Times New Roman" w:hAnsi="Arial" w:cs="Arial"/>
          <w:bCs/>
          <w:sz w:val="20"/>
          <w:szCs w:val="20"/>
        </w:rPr>
        <w:t>DANH MỤC CÔNG TRÌNH ẢNH HƯỞNG LỚN ĐẾN AN TOÀN, LỢI ÍCH CỘNG ĐỒNG</w:t>
      </w:r>
      <w:r w:rsidRPr="00824803">
        <w:rPr>
          <w:rFonts w:ascii="Arial" w:eastAsia="Times New Roman" w:hAnsi="Arial" w:cs="Arial"/>
          <w:bCs/>
          <w:sz w:val="20"/>
          <w:szCs w:val="20"/>
        </w:rPr>
        <w:br/>
      </w:r>
      <w:r w:rsidRPr="00824803">
        <w:rPr>
          <w:rFonts w:ascii="Arial" w:eastAsia="Times New Roman" w:hAnsi="Arial" w:cs="Arial"/>
          <w:i/>
          <w:iCs/>
          <w:sz w:val="20"/>
          <w:szCs w:val="20"/>
        </w:rPr>
        <w:t>(Kèm theo Nghị định số 175/2024/NĐ-CP ngày 30 tháng 12 năm 2024 của Chính phủ)</w:t>
      </w:r>
    </w:p>
    <w:p w:rsidR="00A87EEB" w:rsidRPr="00A44F6F" w:rsidRDefault="00A87EEB" w:rsidP="00A87EEB">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Công trình ảnh hưởng lớn đến an toàn, lợi ích cộng đồng là các công trình được đầu tư xây dựng mới và các công trình được cải tạo, sửa chữa làm thay đổi quy mô, công suất, công năng, kết cấu chịu lực chính trong danh mục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0"/>
        <w:gridCol w:w="2172"/>
        <w:gridCol w:w="4072"/>
        <w:gridCol w:w="1580"/>
      </w:tblGrid>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Mã số</w:t>
            </w:r>
          </w:p>
        </w:tc>
        <w:tc>
          <w:tcPr>
            <w:tcW w:w="3616" w:type="pct"/>
            <w:gridSpan w:val="2"/>
            <w:shd w:val="clear" w:color="auto" w:fill="auto"/>
            <w:vAlign w:val="center"/>
          </w:tcPr>
          <w:p w:rsidR="00A87EEB" w:rsidRPr="00A44F6F" w:rsidRDefault="00A87EEB" w:rsidP="00586DC7">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Loại công trình</w:t>
            </w:r>
          </w:p>
        </w:tc>
        <w:tc>
          <w:tcPr>
            <w:tcW w:w="915" w:type="pct"/>
            <w:shd w:val="clear" w:color="auto" w:fill="auto"/>
            <w:vAlign w:val="center"/>
          </w:tcPr>
          <w:p w:rsidR="00A87EEB" w:rsidRPr="00A44F6F" w:rsidRDefault="00A87EEB" w:rsidP="00586DC7">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Cấp công trình</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b/>
                <w:bCs/>
                <w:sz w:val="20"/>
                <w:szCs w:val="20"/>
              </w:rPr>
              <w:t>I</w:t>
            </w:r>
          </w:p>
        </w:tc>
        <w:tc>
          <w:tcPr>
            <w:tcW w:w="3616" w:type="pct"/>
            <w:gridSpan w:val="2"/>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b/>
                <w:bCs/>
                <w:sz w:val="20"/>
                <w:szCs w:val="20"/>
              </w:rPr>
              <w:t>CÔNG TRÌNH DÂN DỤNG</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I.1</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Nhà ở</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Các tòa nhà chung cư, nhà ở tập thể khác</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công cộng</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I.2.1</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giáo dục, đào tạo, nghiên cứu</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I.2.2</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y tế</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I.2.3</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thể thao</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Sân vận động; nhà thi đấu (các môn thể thao); bể bơi; sân thi đấu các môn thể thao có khán đài</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I.2.4</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văn hóa</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Trung tâm hội nghị, nhà hát, nhà văn hóa, câu lạc bộ, rạp chiếu phim, rạp xiếc, vũ trường; các công trình di tích; bảo tàng, thư viện, triển lãm, nhà trưng bày; tượng đài ngoài trời; công trình vui chơi giải trí; công trình văn hóa tập trung đông người và các công trình khác có chức năng tương đương</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val="restar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I.2.5</w:t>
            </w:r>
          </w:p>
        </w:tc>
        <w:tc>
          <w:tcPr>
            <w:tcW w:w="1258" w:type="pct"/>
            <w:vMerge w:val="restar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thương mại</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Trung tâm thương mại, siêu thị</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Nhà hàng, cửa hàng ăn uống, giải khát và các cơ sở tương tự</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I.2.6</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dịch vụ</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Khách sạn, nhà khách, nhà nghỉ; khu nghỉ dưỡng; biệt thự lưu trú; căn hộ lưu trú và các cơ sở tương tự; bưu điện, bưu cục, cơ sở cung cấp dịch vụ bưu chính, viễn thông khác</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I.2.7</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trụ sở, văn phòng làm việc</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Các tòa nhà sử dụng làm trụ sở, văn phòng làm việc</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I.2.8</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Các công trình đa năng hoặc hỗn hợp</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Các tòa nhà, kết cấu khác sử dụng đa năng hoặc hỗn hợp khác</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I.2.9</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phục vụ dân sinh khác</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Các tòa nhà hoặc kết cấu khác được xây dựng phục vụ dân sinh</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b/>
                <w:bCs/>
                <w:sz w:val="20"/>
                <w:szCs w:val="20"/>
              </w:rPr>
              <w:t>II</w:t>
            </w:r>
          </w:p>
        </w:tc>
        <w:tc>
          <w:tcPr>
            <w:tcW w:w="4531" w:type="pct"/>
            <w:gridSpan w:val="3"/>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b/>
                <w:bCs/>
                <w:sz w:val="20"/>
                <w:szCs w:val="20"/>
              </w:rPr>
              <w:t>CÔNG TRÌNH CÔNG NGHIỆP</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II.1</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sản xuất vật liệu, sản phẩm xây dựng</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II.2</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luyện kim và cơ khí chế tạo</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II.3</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khai thác mỏ và chế biến khoáng sản</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II.4</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dầu khí</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II.5</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năng lượng</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II.6</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hóa chất</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II.7</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công nghiệp nhẹ</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b/>
                <w:bCs/>
                <w:sz w:val="20"/>
                <w:szCs w:val="20"/>
              </w:rPr>
              <w:t>III</w:t>
            </w:r>
          </w:p>
        </w:tc>
        <w:tc>
          <w:tcPr>
            <w:tcW w:w="4531" w:type="pct"/>
            <w:gridSpan w:val="3"/>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b/>
                <w:bCs/>
                <w:sz w:val="20"/>
                <w:szCs w:val="20"/>
              </w:rPr>
              <w:t>CÔNG TRÌNH HẠ TẦNG KỸ THUẬT</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III.1</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cấp nước</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III.2</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thoát nước</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III.3</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xử lý chất thải rắn</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III.4</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hạ tầng kỹ thuật viễn thông thụ động</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Nhà, trạm viễn thông, cột ăng ten, cột treo cáp</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III.5</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Nhà tang lễ; cơ sở hỏa táng</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III.6</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Nhà để xe (ngầm và nổi) Cống, bể, hào, hầm tuy nen kỹ thuật</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b/>
                <w:bCs/>
                <w:sz w:val="20"/>
                <w:szCs w:val="20"/>
              </w:rPr>
              <w:t>IV</w:t>
            </w:r>
          </w:p>
        </w:tc>
        <w:tc>
          <w:tcPr>
            <w:tcW w:w="4531" w:type="pct"/>
            <w:gridSpan w:val="3"/>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b/>
                <w:bCs/>
                <w:sz w:val="20"/>
                <w:szCs w:val="20"/>
              </w:rPr>
              <w:t>CÔNG TRÌNH GIAO THÔNG</w:t>
            </w:r>
          </w:p>
        </w:tc>
      </w:tr>
      <w:tr w:rsidR="00A87EEB" w:rsidRPr="00A44F6F" w:rsidTr="00586DC7">
        <w:trPr>
          <w:trHeight w:val="20"/>
        </w:trPr>
        <w:tc>
          <w:tcPr>
            <w:tcW w:w="469" w:type="pct"/>
            <w:vMerge w:val="restar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IV.1</w:t>
            </w:r>
          </w:p>
        </w:tc>
        <w:tc>
          <w:tcPr>
            <w:tcW w:w="1258" w:type="pct"/>
            <w:vMerge w:val="restar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Đường bộ</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Đường ô tô cao tốc</w:t>
            </w:r>
          </w:p>
        </w:tc>
        <w:tc>
          <w:tcPr>
            <w:tcW w:w="915"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Mọi cấp</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Đường ô tô, đường trong đô thị</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Bến phà</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Bến xe; cơ sở đăng kiểm phương tiện giao thông đường bộ; trạm thu phí; trạm dừng nghỉ</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val="restar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Đường sắt</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Đường sắt cao tốc, đường sắt tốc độ cao, đường sắt đô thị (đường sắt trên cao, đường tầu điện ngầm/Metro); đường sắt quốc gia; đường sắt chuyên dụng và đường sắt địa phương</w:t>
            </w:r>
          </w:p>
        </w:tc>
        <w:tc>
          <w:tcPr>
            <w:tcW w:w="915"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Mọi cấp</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Ga hành khách</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Cầu</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Cầu đường bộ, cầu bộ hành, cầu đường sắt, cầu phao</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val="restar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Hầm</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Hầm đường ô tô, hầm đường sắt, hầm cho người đi bộ</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Hầm tàu điện ngầm (Metro)</w:t>
            </w:r>
          </w:p>
        </w:tc>
        <w:tc>
          <w:tcPr>
            <w:tcW w:w="915"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Mọi cấp</w:t>
            </w:r>
          </w:p>
        </w:tc>
      </w:tr>
      <w:tr w:rsidR="00A87EEB" w:rsidRPr="00A44F6F" w:rsidTr="00586DC7">
        <w:trPr>
          <w:trHeight w:val="20"/>
        </w:trPr>
        <w:tc>
          <w:tcPr>
            <w:tcW w:w="469" w:type="pct"/>
            <w:vMerge w:val="restar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IV.2</w:t>
            </w:r>
          </w:p>
        </w:tc>
        <w:tc>
          <w:tcPr>
            <w:tcW w:w="1258" w:type="pct"/>
            <w:vMerge w:val="restar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đường thủy nội địa</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Cảng, bến thủy nội địa (cho hành khách)</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Đường thủy có bề rộng (B) và độ sâu (H) nước chạy tầu (bao gồm cả phao tiêu, công trình chính trị)</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vMerge w:val="restar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IV.3</w:t>
            </w:r>
          </w:p>
        </w:tc>
        <w:tc>
          <w:tcPr>
            <w:tcW w:w="1258" w:type="pct"/>
            <w:vMerge w:val="restar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hàng hải</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Bến/cảng biển, bến phà (cho hành khách)</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Các công trình hàng hải khác</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IV.4</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hàng không</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Nhà ga hàng không; khu bay (bao gồm cả các công trình bảo đảm hoạt động bay)</w:t>
            </w:r>
          </w:p>
        </w:tc>
        <w:tc>
          <w:tcPr>
            <w:tcW w:w="915"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Mọi cấp</w:t>
            </w:r>
          </w:p>
        </w:tc>
      </w:tr>
      <w:tr w:rsidR="00A87EEB" w:rsidRPr="00A44F6F" w:rsidTr="00586DC7">
        <w:trPr>
          <w:trHeight w:val="20"/>
        </w:trPr>
        <w:tc>
          <w:tcPr>
            <w:tcW w:w="469" w:type="pct"/>
            <w:vMerge w:val="restar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IV.5</w:t>
            </w:r>
          </w:p>
        </w:tc>
        <w:tc>
          <w:tcPr>
            <w:tcW w:w="1258" w:type="pct"/>
            <w:vMerge w:val="restar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Tuyến cáp treo và nhà ga</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Để vận chuyển người</w:t>
            </w:r>
          </w:p>
        </w:tc>
        <w:tc>
          <w:tcPr>
            <w:tcW w:w="915"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Mọi cấp</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Để vận chuyển hàng hóa</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b/>
                <w:bCs/>
                <w:sz w:val="20"/>
                <w:szCs w:val="20"/>
              </w:rPr>
              <w:t>V</w:t>
            </w:r>
          </w:p>
        </w:tc>
        <w:tc>
          <w:tcPr>
            <w:tcW w:w="4531" w:type="pct"/>
            <w:gridSpan w:val="3"/>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b/>
                <w:bCs/>
                <w:sz w:val="20"/>
                <w:szCs w:val="20"/>
              </w:rPr>
              <w:t>CÔNG TRÌNH NÔNG NGHIỆP VÀ PHÁT TRIỂN NÔNG THÔN</w:t>
            </w:r>
          </w:p>
        </w:tc>
      </w:tr>
      <w:tr w:rsidR="00A87EEB" w:rsidRPr="00A44F6F" w:rsidTr="00586DC7">
        <w:trPr>
          <w:trHeight w:val="20"/>
        </w:trPr>
        <w:tc>
          <w:tcPr>
            <w:tcW w:w="469" w:type="pct"/>
            <w:vMerge w:val="restar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V.1</w:t>
            </w:r>
          </w:p>
        </w:tc>
        <w:tc>
          <w:tcPr>
            <w:tcW w:w="1258" w:type="pct"/>
            <w:vMerge w:val="restar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thủy lợi</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cấp nước</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Hồ chứa nước</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vMerge/>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p>
        </w:tc>
        <w:tc>
          <w:tcPr>
            <w:tcW w:w="1258" w:type="pct"/>
            <w:vMerge/>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Đập ngăn nước và các công trình thủy lợi chịu áp khác</w:t>
            </w:r>
          </w:p>
        </w:tc>
        <w:tc>
          <w:tcPr>
            <w:tcW w:w="915"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Cấp III trở lên</w:t>
            </w:r>
          </w:p>
        </w:tc>
      </w:tr>
      <w:tr w:rsidR="00A87EEB" w:rsidRPr="00A44F6F" w:rsidTr="00586DC7">
        <w:trPr>
          <w:trHeight w:val="20"/>
        </w:trPr>
        <w:tc>
          <w:tcPr>
            <w:tcW w:w="469"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V.2</w:t>
            </w:r>
          </w:p>
        </w:tc>
        <w:tc>
          <w:tcPr>
            <w:tcW w:w="1258" w:type="pct"/>
            <w:shd w:val="clear" w:color="auto" w:fill="auto"/>
            <w:vAlign w:val="center"/>
          </w:tcPr>
          <w:p w:rsidR="00A87EEB" w:rsidRPr="00A44F6F" w:rsidRDefault="00A87EEB" w:rsidP="00586DC7">
            <w:pPr>
              <w:spacing w:before="120"/>
              <w:rPr>
                <w:rFonts w:ascii="Arial" w:eastAsia="Times New Roman" w:hAnsi="Arial" w:cs="Arial"/>
                <w:sz w:val="20"/>
                <w:szCs w:val="20"/>
              </w:rPr>
            </w:pPr>
            <w:r w:rsidRPr="00A44F6F">
              <w:rPr>
                <w:rFonts w:ascii="Arial" w:eastAsia="Times New Roman" w:hAnsi="Arial" w:cs="Arial"/>
                <w:sz w:val="20"/>
                <w:szCs w:val="20"/>
              </w:rPr>
              <w:t>Công trình đê điều</w:t>
            </w:r>
          </w:p>
        </w:tc>
        <w:tc>
          <w:tcPr>
            <w:tcW w:w="2358" w:type="pct"/>
            <w:shd w:val="clear" w:color="auto" w:fill="auto"/>
            <w:vAlign w:val="center"/>
          </w:tcPr>
          <w:p w:rsidR="00A87EEB" w:rsidRPr="00A44F6F" w:rsidRDefault="00A87EEB" w:rsidP="00586DC7">
            <w:pPr>
              <w:spacing w:before="120"/>
              <w:rPr>
                <w:rFonts w:ascii="Arial" w:eastAsia="Times New Roman" w:hAnsi="Arial" w:cs="Arial"/>
                <w:sz w:val="20"/>
                <w:szCs w:val="20"/>
              </w:rPr>
            </w:pPr>
          </w:p>
        </w:tc>
        <w:tc>
          <w:tcPr>
            <w:tcW w:w="915" w:type="pct"/>
            <w:shd w:val="clear" w:color="auto" w:fill="auto"/>
            <w:vAlign w:val="center"/>
          </w:tcPr>
          <w:p w:rsidR="00A87EEB" w:rsidRPr="00A44F6F" w:rsidRDefault="00A87EEB" w:rsidP="00586DC7">
            <w:pPr>
              <w:spacing w:before="120"/>
              <w:jc w:val="center"/>
              <w:rPr>
                <w:rFonts w:ascii="Arial" w:eastAsia="Times New Roman" w:hAnsi="Arial" w:cs="Arial"/>
                <w:sz w:val="20"/>
                <w:szCs w:val="20"/>
              </w:rPr>
            </w:pPr>
            <w:r w:rsidRPr="00A44F6F">
              <w:rPr>
                <w:rFonts w:ascii="Arial" w:eastAsia="Times New Roman" w:hAnsi="Arial" w:cs="Arial"/>
                <w:sz w:val="20"/>
                <w:szCs w:val="20"/>
              </w:rPr>
              <w:t>Mọi cấp</w:t>
            </w:r>
          </w:p>
        </w:tc>
      </w:tr>
    </w:tbl>
    <w:p w:rsidR="00A87EEB" w:rsidRPr="00A44F6F" w:rsidRDefault="00A87EEB" w:rsidP="00A87EEB">
      <w:pPr>
        <w:spacing w:before="120"/>
        <w:rPr>
          <w:rFonts w:ascii="Arial" w:hAnsi="Arial" w:cs="Arial"/>
          <w:b/>
          <w:sz w:val="24"/>
        </w:rPr>
      </w:pPr>
    </w:p>
    <w:p w:rsidR="009471B5" w:rsidRDefault="009471B5">
      <w:bookmarkStart w:id="0" w:name="_GoBack"/>
      <w:bookmarkEnd w:id="0"/>
    </w:p>
    <w:sectPr w:rsidR="009471B5" w:rsidSect="00A44F6F">
      <w:pgSz w:w="12240" w:h="15840" w:code="1"/>
      <w:pgMar w:top="1440" w:right="1800" w:bottom="1440"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EB"/>
    <w:rsid w:val="009471B5"/>
    <w:rsid w:val="00A8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9884-A637-4A85-B6E2-AC6C423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E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2025-02-17T03:36:00Z</dcterms:created>
  <dcterms:modified xsi:type="dcterms:W3CDTF">2025-02-17T03:37:00Z</dcterms:modified>
</cp:coreProperties>
</file>