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6D" w:rsidRDefault="0021186D" w:rsidP="0021186D">
      <w:pPr>
        <w:spacing w:before="120" w:after="280" w:afterAutospacing="1"/>
        <w:jc w:val="center"/>
      </w:pPr>
      <w:bookmarkStart w:id="0" w:name="chuong_pl_1"/>
      <w:r>
        <w:rPr>
          <w:b/>
          <w:bCs/>
        </w:rPr>
        <w:t>PHỤ LỤC 3b</w:t>
      </w:r>
      <w:bookmarkEnd w:id="0"/>
    </w:p>
    <w:p w:rsidR="0021186D" w:rsidRDefault="0021186D" w:rsidP="0021186D">
      <w:pPr>
        <w:spacing w:before="120" w:after="280" w:afterAutospacing="1"/>
        <w:jc w:val="center"/>
      </w:pPr>
      <w:bookmarkStart w:id="1" w:name="chuong_pl_1_name"/>
      <w:r>
        <w:t xml:space="preserve">DANH MỤC KHÁM CHUYÊN KHOA PHỤ SẢN TRONG KHÁM SỨC KHỎE ĐỊNH KỲ CHO LAO ĐỘNG </w:t>
      </w:r>
      <w:proofErr w:type="gramStart"/>
      <w:r>
        <w:t>NỮ</w:t>
      </w:r>
      <w:bookmarkEnd w:id="1"/>
      <w:proofErr w:type="gramEnd"/>
      <w:r>
        <w:br/>
      </w:r>
      <w:r>
        <w:rPr>
          <w:i/>
          <w:iCs/>
        </w:rPr>
        <w:t>(Ban hành kèm theo Thông tư số 09/2023/TT-BYT ngày 05 tháng 5 năm 2023 của Bộ trưởng Bộ Y tế)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713"/>
        <w:gridCol w:w="5437"/>
        <w:gridCol w:w="3230"/>
      </w:tblGrid>
      <w:tr w:rsidR="0021186D" w:rsidTr="001474F6"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2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  <w:jc w:val="center"/>
            </w:pPr>
            <w:r>
              <w:rPr>
                <w:b/>
                <w:bCs/>
              </w:rPr>
              <w:t>NỘI DUNG KHÁM</w:t>
            </w:r>
          </w:p>
        </w:tc>
        <w:tc>
          <w:tcPr>
            <w:tcW w:w="1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  <w:jc w:val="center"/>
            </w:pPr>
            <w:r>
              <w:rPr>
                <w:b/>
                <w:bCs/>
              </w:rPr>
              <w:t>GHI CHÚ</w:t>
            </w:r>
          </w:p>
        </w:tc>
      </w:tr>
      <w:tr w:rsidR="0021186D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  <w:jc w:val="center"/>
            </w:pPr>
            <w:r>
              <w:rPr>
                <w:b/>
                <w:bCs/>
              </w:rPr>
              <w:t>I.</w:t>
            </w:r>
          </w:p>
        </w:tc>
        <w:tc>
          <w:tcPr>
            <w:tcW w:w="4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</w:pPr>
            <w:r>
              <w:rPr>
                <w:b/>
                <w:bCs/>
              </w:rPr>
              <w:t>Khám phụ khoa</w:t>
            </w:r>
          </w:p>
        </w:tc>
      </w:tr>
      <w:tr w:rsidR="0021186D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  <w:jc w:val="center"/>
            </w:pPr>
            <w:r>
              <w:t>1.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</w:pPr>
            <w:r>
              <w:t>Khám vùng bụng dưới và vùng bẹn.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</w:pPr>
            <w:r>
              <w:t> </w:t>
            </w:r>
          </w:p>
        </w:tc>
      </w:tr>
      <w:tr w:rsidR="0021186D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  <w:jc w:val="center"/>
            </w:pPr>
            <w:r>
              <w:t>2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</w:pPr>
            <w:r>
              <w:t>Khám bộ phận sinh dục ngoài.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</w:pPr>
            <w:r>
              <w:t> </w:t>
            </w:r>
          </w:p>
        </w:tc>
      </w:tr>
      <w:tr w:rsidR="0021186D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  <w:jc w:val="center"/>
            </w:pPr>
            <w:r>
              <w:t>3.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</w:pPr>
            <w:r>
              <w:t>Khám âm đạo bằng mỏ vịt kết hợp quan sát cổ tử cung bằng mắt thường.</w:t>
            </w:r>
          </w:p>
        </w:tc>
        <w:tc>
          <w:tcPr>
            <w:tcW w:w="17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</w:pPr>
            <w:r>
              <w:rPr>
                <w:i/>
                <w:iCs/>
              </w:rPr>
              <w:t>- Chỉ thực hiện nếu tiếp cận được bằng đường âm đạo và có sự đồng ý của lao động nữ sau khi được nhân viên y tế tư vấn.</w:t>
            </w:r>
          </w:p>
        </w:tc>
      </w:tr>
      <w:tr w:rsidR="0021186D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  <w:jc w:val="center"/>
            </w:pPr>
            <w:r>
              <w:t>4.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</w:pPr>
            <w:r>
              <w:t>Khám âm đạo phối hợp nắn bụng (khám bằng hai tay).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1186D" w:rsidRDefault="0021186D" w:rsidP="001474F6">
            <w:pPr>
              <w:spacing w:before="120"/>
            </w:pPr>
          </w:p>
        </w:tc>
      </w:tr>
      <w:tr w:rsidR="0021186D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  <w:jc w:val="center"/>
            </w:pPr>
            <w:r>
              <w:t>5.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</w:pPr>
            <w:r>
              <w:t>Khám trực tràng phối hợp nắn bụng (khám bằng hai tay).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 w:after="280" w:afterAutospacing="1"/>
            </w:pPr>
            <w:r>
              <w:rPr>
                <w:i/>
                <w:iCs/>
              </w:rPr>
              <w:t>- Chỉ thực hiện nếu không tiếp cận được bằng đường âm đạo hoặc bệnh cảnh cụ thể đòi hỏi phải đánh giá thêm bằng khám trực tràng.</w:t>
            </w:r>
          </w:p>
          <w:p w:rsidR="0021186D" w:rsidRDefault="0021186D" w:rsidP="001474F6">
            <w:pPr>
              <w:spacing w:before="120"/>
            </w:pPr>
            <w:r>
              <w:rPr>
                <w:i/>
                <w:iCs/>
              </w:rPr>
              <w:t>- Chỉ thực hiện nếu có sự đồng ý của lao động nữ sau khi được nhân viên y tế tư vấn.</w:t>
            </w:r>
          </w:p>
        </w:tc>
      </w:tr>
      <w:tr w:rsidR="0021186D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  <w:jc w:val="center"/>
            </w:pPr>
            <w:r>
              <w:rPr>
                <w:b/>
                <w:bCs/>
              </w:rPr>
              <w:t>II.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</w:pPr>
            <w:r>
              <w:rPr>
                <w:b/>
                <w:bCs/>
              </w:rPr>
              <w:t>Sàng lọc ung thư cổ tử cung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Thực hiện sàng lọc, phát hiện sớm tổn thương cổ tử cung bằng ít nhất một trong các kỹ thuật sau:</w:t>
            </w:r>
          </w:p>
        </w:tc>
        <w:tc>
          <w:tcPr>
            <w:tcW w:w="17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 w:after="280" w:afterAutospacing="1"/>
            </w:pPr>
            <w:r>
              <w:rPr>
                <w:i/>
                <w:iCs/>
              </w:rPr>
              <w:t>- Chỉ thực hiện nếu tiếp cận được bằng đường âm đạo và có sự đồng ý của lao động nữ sau khi được nhân viên y tế tư vấn.</w:t>
            </w:r>
          </w:p>
          <w:p w:rsidR="0021186D" w:rsidRDefault="0021186D" w:rsidP="001474F6">
            <w:pPr>
              <w:spacing w:before="120"/>
            </w:pPr>
            <w:r>
              <w:rPr>
                <w:i/>
                <w:iCs/>
              </w:rPr>
              <w:t>- Thực hiện theo hướng dẫn chuyên môn của Bộ Y tế.</w:t>
            </w:r>
          </w:p>
        </w:tc>
      </w:tr>
      <w:tr w:rsidR="0021186D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  <w:jc w:val="center"/>
            </w:pPr>
            <w:r>
              <w:t>1.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</w:pPr>
            <w:r>
              <w:t>Nghiệm pháp quan sát cổ tử cung với dung dịch Acid Acetic (VIA test)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1186D" w:rsidRDefault="0021186D" w:rsidP="001474F6">
            <w:pPr>
              <w:spacing w:before="120"/>
            </w:pPr>
          </w:p>
        </w:tc>
      </w:tr>
      <w:tr w:rsidR="0021186D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  <w:jc w:val="center"/>
            </w:pPr>
            <w:r>
              <w:t>2.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</w:pPr>
            <w:r>
              <w:t>Nghiệm pháp quan sát cổ tử cung với dung dịch Lugol (VILI test)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1186D" w:rsidRDefault="0021186D" w:rsidP="001474F6">
            <w:pPr>
              <w:spacing w:before="120"/>
            </w:pPr>
          </w:p>
        </w:tc>
      </w:tr>
      <w:tr w:rsidR="0021186D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  <w:jc w:val="center"/>
            </w:pPr>
            <w:r>
              <w:t>3.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</w:pPr>
            <w:r>
              <w:t>Xét nghiệm tế bào cổ tử cung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1186D" w:rsidRDefault="0021186D" w:rsidP="001474F6">
            <w:pPr>
              <w:spacing w:before="120"/>
            </w:pPr>
          </w:p>
        </w:tc>
      </w:tr>
      <w:tr w:rsidR="0021186D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  <w:jc w:val="center"/>
            </w:pPr>
            <w:r>
              <w:t>4.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</w:pPr>
            <w:r>
              <w:t>Xét nghiệm HPV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1186D" w:rsidRDefault="0021186D" w:rsidP="001474F6">
            <w:pPr>
              <w:spacing w:before="120"/>
            </w:pPr>
          </w:p>
        </w:tc>
      </w:tr>
      <w:tr w:rsidR="0021186D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</w:pPr>
            <w:r>
              <w:rPr>
                <w:b/>
                <w:bCs/>
              </w:rPr>
              <w:t>Sàng lọc ung thư vú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Thực hiện sàng lọc, phát hiện sớm tổn thương vú bằng ít nhất một trong các kỹ thuật sau:</w:t>
            </w:r>
          </w:p>
        </w:tc>
        <w:tc>
          <w:tcPr>
            <w:tcW w:w="17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</w:pPr>
            <w:r>
              <w:t> </w:t>
            </w:r>
          </w:p>
        </w:tc>
      </w:tr>
      <w:tr w:rsidR="0021186D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  <w:jc w:val="center"/>
            </w:pPr>
            <w:r>
              <w:t>1.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</w:pPr>
            <w:r>
              <w:t>Khám lâm sàng vú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1186D" w:rsidRDefault="0021186D" w:rsidP="001474F6">
            <w:pPr>
              <w:spacing w:before="120"/>
            </w:pPr>
          </w:p>
        </w:tc>
      </w:tr>
      <w:tr w:rsidR="0021186D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  <w:jc w:val="center"/>
            </w:pPr>
            <w:r>
              <w:t>2.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</w:pPr>
            <w:r>
              <w:t>Siêu âm tuyến vú hai bên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1186D" w:rsidRDefault="0021186D" w:rsidP="001474F6">
            <w:pPr>
              <w:spacing w:before="120"/>
            </w:pPr>
          </w:p>
        </w:tc>
      </w:tr>
      <w:tr w:rsidR="0021186D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  <w:jc w:val="center"/>
            </w:pPr>
            <w:r>
              <w:lastRenderedPageBreak/>
              <w:t>3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</w:pPr>
            <w:r>
              <w:t>Chụp Xquang tuyến vú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1186D" w:rsidRDefault="0021186D" w:rsidP="001474F6">
            <w:pPr>
              <w:spacing w:before="120"/>
            </w:pPr>
          </w:p>
        </w:tc>
      </w:tr>
      <w:tr w:rsidR="0021186D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  <w:jc w:val="center"/>
            </w:pPr>
            <w:r>
              <w:rPr>
                <w:b/>
                <w:bCs/>
              </w:rPr>
              <w:t>IV.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</w:pPr>
            <w:r>
              <w:rPr>
                <w:b/>
                <w:bCs/>
              </w:rPr>
              <w:t xml:space="preserve">Siêu âm tử cung-phần phụ </w:t>
            </w:r>
            <w:r>
              <w:rPr>
                <w:i/>
                <w:iCs/>
              </w:rPr>
              <w:t>(khi có chỉ định của bác sỹ khám)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86D" w:rsidRDefault="0021186D" w:rsidP="001474F6">
            <w:pPr>
              <w:spacing w:before="120"/>
            </w:pPr>
            <w:r>
              <w:t> </w:t>
            </w:r>
          </w:p>
        </w:tc>
      </w:tr>
    </w:tbl>
    <w:p w:rsidR="0021186D" w:rsidRDefault="0021186D" w:rsidP="0021186D">
      <w:pPr>
        <w:spacing w:before="120" w:after="280" w:afterAutospacing="1"/>
      </w:pPr>
      <w:r>
        <w:rPr>
          <w:b/>
          <w:bCs/>
        </w:rPr>
        <w:t> </w:t>
      </w:r>
    </w:p>
    <w:p w:rsidR="0021186D" w:rsidRDefault="0021186D" w:rsidP="0021186D">
      <w:pPr>
        <w:spacing w:after="280" w:afterAutospacing="1"/>
      </w:pPr>
    </w:p>
    <w:p w:rsidR="0021186D" w:rsidRDefault="0021186D" w:rsidP="0021186D">
      <w:r>
        <w:pict>
          <v:rect id="_x0000_i1025" style="width:142.55pt;height:.75pt" o:hrpct="330" o:hrstd="t" o:hr="t" fillcolor="gray" stroked="f"/>
        </w:pict>
      </w:r>
    </w:p>
    <w:bookmarkStart w:id="2" w:name="_ftn1"/>
    <w:bookmarkEnd w:id="2"/>
    <w:p w:rsidR="0021186D" w:rsidRDefault="0021186D" w:rsidP="0021186D">
      <w:pPr>
        <w:spacing w:before="120" w:after="280" w:afterAutospacing="1"/>
      </w:pPr>
      <w:r>
        <w:fldChar w:fldCharType="begin"/>
      </w:r>
      <w:r>
        <w:instrText xml:space="preserve"> HYPERLINK \l "_ftnref1" </w:instrText>
      </w:r>
      <w:r>
        <w:fldChar w:fldCharType="separate"/>
      </w:r>
      <w:r>
        <w:rPr>
          <w:color w:val="0000FF"/>
          <w:u w:val="single"/>
        </w:rPr>
        <w:t>1</w:t>
      </w:r>
      <w:r>
        <w:fldChar w:fldCharType="end"/>
      </w:r>
      <w:r>
        <w:t xml:space="preserve"> Phân loại sức khỏe </w:t>
      </w:r>
      <w:proofErr w:type="gramStart"/>
      <w:r>
        <w:t>theo</w:t>
      </w:r>
      <w:proofErr w:type="gramEnd"/>
      <w:r>
        <w:t xml:space="preserve"> quy định tại Quyết định số 1613/BYT-QĐ hoặc phân loại sức khỏe theo quy định của bộ tiêu chuẩn sức khỏe chuyên ngành đối với trường hợp khám sức khỏe chuyên ngành.</w:t>
      </w:r>
    </w:p>
    <w:bookmarkStart w:id="3" w:name="_ftn2"/>
    <w:bookmarkEnd w:id="3"/>
    <w:p w:rsidR="0021186D" w:rsidRDefault="0021186D" w:rsidP="0021186D">
      <w:pPr>
        <w:spacing w:before="120" w:after="280" w:afterAutospacing="1"/>
      </w:pPr>
      <w:r>
        <w:fldChar w:fldCharType="begin"/>
      </w:r>
      <w:r>
        <w:instrText xml:space="preserve"> HYPERLINK \l "_ftnref2" </w:instrText>
      </w:r>
      <w:r>
        <w:fldChar w:fldCharType="separate"/>
      </w:r>
      <w:r>
        <w:rPr>
          <w:color w:val="0000FF"/>
          <w:u w:val="single"/>
        </w:rPr>
        <w:t>2</w:t>
      </w:r>
      <w:r>
        <w:fldChar w:fldCharType="end"/>
      </w:r>
      <w:r>
        <w:t xml:space="preserve"> Ghi rõ các bệnh, tật, phương </w:t>
      </w:r>
      <w:proofErr w:type="gramStart"/>
      <w:r>
        <w:t>án</w:t>
      </w:r>
      <w:proofErr w:type="gramEnd"/>
      <w:r>
        <w:t xml:space="preserve"> điều trị, phục hồi chức năng hoặc giới thiệu khám chuyên khoa để khám bệnh, chữa bệnh.</w:t>
      </w:r>
    </w:p>
    <w:p w:rsidR="00A71A13" w:rsidRDefault="00A71A13"/>
    <w:sectPr w:rsidR="00A71A1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1186D"/>
    <w:rsid w:val="0021186D"/>
    <w:rsid w:val="00A71A13"/>
    <w:rsid w:val="00E3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6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Company>Grizli777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2023-05-23T07:29:00Z</dcterms:created>
  <dcterms:modified xsi:type="dcterms:W3CDTF">2023-05-23T07:29:00Z</dcterms:modified>
</cp:coreProperties>
</file>