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88" w:rsidRPr="00522920" w:rsidRDefault="00DB2B88" w:rsidP="00DB2B88">
      <w:pPr>
        <w:spacing w:before="120"/>
        <w:jc w:val="center"/>
        <w:rPr>
          <w:rFonts w:ascii="Arial" w:hAnsi="Arial" w:cs="Arial"/>
          <w:b/>
        </w:rPr>
      </w:pPr>
      <w:bookmarkStart w:id="0" w:name="chuong_pl_4"/>
      <w:r>
        <w:rPr>
          <w:rFonts w:ascii="Arial" w:hAnsi="Arial" w:cs="Arial"/>
          <w:b/>
        </w:rPr>
        <w:t>PHỤ LỤC 4</w:t>
      </w:r>
      <w:bookmarkEnd w:id="0"/>
    </w:p>
    <w:p w:rsidR="00DB2B88" w:rsidRPr="00522920" w:rsidRDefault="00DB2B88" w:rsidP="00DB2B88">
      <w:pPr>
        <w:spacing w:before="120"/>
        <w:jc w:val="center"/>
        <w:rPr>
          <w:rFonts w:ascii="Arial" w:hAnsi="Arial" w:cs="Arial"/>
          <w:i/>
          <w:sz w:val="20"/>
        </w:rPr>
      </w:pPr>
      <w:bookmarkStart w:id="1" w:name="chuong_pl_4_name"/>
      <w:r w:rsidRPr="00267BEE">
        <w:rPr>
          <w:rFonts w:ascii="Arial" w:hAnsi="Arial" w:cs="Arial"/>
          <w:sz w:val="20"/>
        </w:rPr>
        <w:t>HƯỚNG DẪN CHẨN ĐOÁN, GIÁM ĐỊNH SUY GIẢM KHẢ NĂNG LAO ĐỘNG DO BỆNH BỤI PHỔI TALC NGHỀ NGHIỆP</w:t>
      </w:r>
      <w:bookmarkEnd w:id="1"/>
      <w:r>
        <w:rPr>
          <w:rFonts w:ascii="Arial" w:hAnsi="Arial" w:cs="Arial"/>
          <w:sz w:val="20"/>
        </w:rPr>
        <w:br/>
      </w:r>
      <w:r w:rsidRPr="00522920">
        <w:rPr>
          <w:rFonts w:ascii="Arial" w:hAnsi="Arial" w:cs="Arial"/>
          <w:i/>
          <w:sz w:val="20"/>
        </w:rPr>
        <w:t>(Ban hành kèm theo Thông tư số 15/2016/TT-BYT ngày 15 tháng 5 năm 2016 của Bộ trưởng Bộ Y tế)</w:t>
      </w:r>
    </w:p>
    <w:p w:rsidR="00DB2B88" w:rsidRPr="00522920" w:rsidRDefault="00DB2B88" w:rsidP="00DB2B88">
      <w:pPr>
        <w:spacing w:before="120"/>
        <w:rPr>
          <w:rFonts w:ascii="Arial" w:hAnsi="Arial" w:cs="Arial"/>
          <w:b/>
          <w:sz w:val="20"/>
        </w:rPr>
      </w:pPr>
      <w:r w:rsidRPr="00522920">
        <w:rPr>
          <w:rFonts w:ascii="Arial" w:hAnsi="Arial" w:cs="Arial"/>
          <w:b/>
          <w:sz w:val="20"/>
        </w:rPr>
        <w:t>1. Định nghĩa</w:t>
      </w:r>
    </w:p>
    <w:p w:rsidR="00DB2B88" w:rsidRPr="00227616" w:rsidRDefault="00DB2B88" w:rsidP="00DB2B88">
      <w:pPr>
        <w:spacing w:before="120"/>
        <w:rPr>
          <w:rFonts w:ascii="Arial" w:hAnsi="Arial" w:cs="Arial"/>
          <w:sz w:val="20"/>
        </w:rPr>
      </w:pPr>
      <w:r w:rsidRPr="00227616">
        <w:rPr>
          <w:rFonts w:ascii="Arial" w:hAnsi="Arial" w:cs="Arial"/>
          <w:sz w:val="20"/>
        </w:rPr>
        <w:t>Bệnh bụi phổi talc nghề nghiệp là bệnh xơ hóa phổi do hít phải bụi talc trong quá trình lao động.</w:t>
      </w:r>
    </w:p>
    <w:p w:rsidR="00DB2B88" w:rsidRPr="00522920" w:rsidRDefault="00DB2B88" w:rsidP="00DB2B88">
      <w:pPr>
        <w:spacing w:before="120"/>
        <w:rPr>
          <w:rFonts w:ascii="Arial" w:hAnsi="Arial" w:cs="Arial"/>
          <w:b/>
          <w:sz w:val="20"/>
        </w:rPr>
      </w:pPr>
      <w:r w:rsidRPr="00522920">
        <w:rPr>
          <w:rFonts w:ascii="Arial" w:hAnsi="Arial" w:cs="Arial"/>
          <w:b/>
          <w:sz w:val="20"/>
        </w:rPr>
        <w:t>2. Yếu tố gây bệnh</w:t>
      </w:r>
    </w:p>
    <w:p w:rsidR="00DB2B88" w:rsidRPr="00227616" w:rsidRDefault="00DB2B88" w:rsidP="00DB2B88">
      <w:pPr>
        <w:spacing w:before="120"/>
        <w:rPr>
          <w:rFonts w:ascii="Arial" w:hAnsi="Arial" w:cs="Arial"/>
          <w:sz w:val="20"/>
        </w:rPr>
      </w:pPr>
      <w:r w:rsidRPr="00227616">
        <w:rPr>
          <w:rFonts w:ascii="Arial" w:hAnsi="Arial" w:cs="Arial"/>
          <w:sz w:val="20"/>
        </w:rPr>
        <w:t>Bụi talc trong không khí môi trường lao động.</w:t>
      </w:r>
    </w:p>
    <w:p w:rsidR="00DB2B88" w:rsidRPr="00522920" w:rsidRDefault="00DB2B88" w:rsidP="00DB2B88">
      <w:pPr>
        <w:spacing w:before="120"/>
        <w:rPr>
          <w:rFonts w:ascii="Arial" w:hAnsi="Arial" w:cs="Arial"/>
          <w:b/>
          <w:sz w:val="20"/>
        </w:rPr>
      </w:pPr>
      <w:r w:rsidRPr="00522920">
        <w:rPr>
          <w:rFonts w:ascii="Arial" w:hAnsi="Arial" w:cs="Arial"/>
          <w:b/>
          <w:sz w:val="20"/>
        </w:rPr>
        <w:t>3. Nghề, công việc thường gặp và nguồn tiếp xúc</w:t>
      </w:r>
    </w:p>
    <w:p w:rsidR="00DB2B88" w:rsidRPr="00227616" w:rsidRDefault="00DB2B88" w:rsidP="00DB2B88">
      <w:pPr>
        <w:spacing w:before="120"/>
        <w:rPr>
          <w:rFonts w:ascii="Arial" w:hAnsi="Arial" w:cs="Arial"/>
          <w:sz w:val="20"/>
        </w:rPr>
      </w:pPr>
      <w:r w:rsidRPr="00227616">
        <w:rPr>
          <w:rFonts w:ascii="Arial" w:hAnsi="Arial" w:cs="Arial"/>
          <w:sz w:val="20"/>
        </w:rPr>
        <w:t>- Gốm sứ;</w:t>
      </w:r>
    </w:p>
    <w:p w:rsidR="00DB2B88" w:rsidRPr="00227616" w:rsidRDefault="00DB2B88" w:rsidP="00DB2B88">
      <w:pPr>
        <w:spacing w:before="120"/>
        <w:rPr>
          <w:rFonts w:ascii="Arial" w:hAnsi="Arial" w:cs="Arial"/>
          <w:sz w:val="20"/>
        </w:rPr>
      </w:pPr>
      <w:r w:rsidRPr="00227616">
        <w:rPr>
          <w:rFonts w:ascii="Arial" w:hAnsi="Arial" w:cs="Arial"/>
          <w:sz w:val="20"/>
        </w:rPr>
        <w:t>- Giấy;</w:t>
      </w:r>
    </w:p>
    <w:p w:rsidR="00DB2B88" w:rsidRPr="00227616" w:rsidRDefault="00DB2B88" w:rsidP="00DB2B88">
      <w:pPr>
        <w:spacing w:before="120"/>
        <w:rPr>
          <w:rFonts w:ascii="Arial" w:hAnsi="Arial" w:cs="Arial"/>
          <w:sz w:val="20"/>
        </w:rPr>
      </w:pPr>
      <w:r w:rsidRPr="00227616">
        <w:rPr>
          <w:rFonts w:ascii="Arial" w:hAnsi="Arial" w:cs="Arial"/>
          <w:sz w:val="20"/>
        </w:rPr>
        <w:t>- Chất dẻo (plastic);</w:t>
      </w:r>
    </w:p>
    <w:p w:rsidR="00DB2B88" w:rsidRPr="00227616" w:rsidRDefault="00DB2B88" w:rsidP="00DB2B88">
      <w:pPr>
        <w:spacing w:before="120"/>
        <w:rPr>
          <w:rFonts w:ascii="Arial" w:hAnsi="Arial" w:cs="Arial"/>
          <w:sz w:val="20"/>
        </w:rPr>
      </w:pPr>
      <w:r w:rsidRPr="00227616">
        <w:rPr>
          <w:rFonts w:ascii="Arial" w:hAnsi="Arial" w:cs="Arial"/>
          <w:sz w:val="20"/>
        </w:rPr>
        <w:t>- Sơn;</w:t>
      </w:r>
    </w:p>
    <w:p w:rsidR="00DB2B88" w:rsidRPr="00227616" w:rsidRDefault="00DB2B88" w:rsidP="00DB2B88">
      <w:pPr>
        <w:spacing w:before="120"/>
        <w:rPr>
          <w:rFonts w:ascii="Arial" w:hAnsi="Arial" w:cs="Arial"/>
          <w:sz w:val="20"/>
        </w:rPr>
      </w:pPr>
      <w:r w:rsidRPr="00227616">
        <w:rPr>
          <w:rFonts w:ascii="Arial" w:hAnsi="Arial" w:cs="Arial"/>
          <w:sz w:val="20"/>
        </w:rPr>
        <w:t>- Cao su;</w:t>
      </w:r>
    </w:p>
    <w:p w:rsidR="00DB2B88" w:rsidRPr="00227616" w:rsidRDefault="00DB2B88" w:rsidP="00DB2B88">
      <w:pPr>
        <w:spacing w:before="120"/>
        <w:rPr>
          <w:rFonts w:ascii="Arial" w:hAnsi="Arial" w:cs="Arial"/>
          <w:sz w:val="20"/>
        </w:rPr>
      </w:pPr>
      <w:r w:rsidRPr="00227616">
        <w:rPr>
          <w:rFonts w:ascii="Arial" w:hAnsi="Arial" w:cs="Arial"/>
          <w:sz w:val="20"/>
        </w:rPr>
        <w:t>- Mỹ phẩm;</w:t>
      </w:r>
    </w:p>
    <w:p w:rsidR="00DB2B88" w:rsidRPr="00227616" w:rsidRDefault="00DB2B88" w:rsidP="00DB2B88">
      <w:pPr>
        <w:spacing w:before="120"/>
        <w:rPr>
          <w:rFonts w:ascii="Arial" w:hAnsi="Arial" w:cs="Arial"/>
          <w:sz w:val="20"/>
        </w:rPr>
      </w:pPr>
      <w:r w:rsidRPr="00227616">
        <w:rPr>
          <w:rFonts w:ascii="Arial" w:hAnsi="Arial" w:cs="Arial"/>
          <w:sz w:val="20"/>
        </w:rPr>
        <w:t>- Dược phẩm;</w:t>
      </w:r>
    </w:p>
    <w:p w:rsidR="00DB2B88" w:rsidRPr="00227616" w:rsidRDefault="00DB2B88" w:rsidP="00DB2B88">
      <w:pPr>
        <w:spacing w:before="120"/>
        <w:rPr>
          <w:rFonts w:ascii="Arial" w:hAnsi="Arial" w:cs="Arial"/>
          <w:sz w:val="20"/>
        </w:rPr>
      </w:pPr>
      <w:r w:rsidRPr="00227616">
        <w:rPr>
          <w:rFonts w:ascii="Arial" w:hAnsi="Arial" w:cs="Arial"/>
          <w:sz w:val="20"/>
        </w:rPr>
        <w:t>- Các nghề, công việc khác có tiếp xúc với bụi talc.</w:t>
      </w:r>
    </w:p>
    <w:p w:rsidR="00DB2B88" w:rsidRPr="00522920" w:rsidRDefault="00DB2B88" w:rsidP="00DB2B88">
      <w:pPr>
        <w:spacing w:before="120"/>
        <w:rPr>
          <w:rFonts w:ascii="Arial" w:hAnsi="Arial" w:cs="Arial"/>
          <w:b/>
          <w:sz w:val="20"/>
        </w:rPr>
      </w:pPr>
      <w:r w:rsidRPr="00522920">
        <w:rPr>
          <w:rFonts w:ascii="Arial" w:hAnsi="Arial" w:cs="Arial"/>
          <w:b/>
          <w:sz w:val="20"/>
        </w:rPr>
        <w:t>4. Giới hạn tiếp xúc tối thiểu</w:t>
      </w:r>
    </w:p>
    <w:p w:rsidR="00DB2B88" w:rsidRPr="00522920" w:rsidRDefault="00DB2B88" w:rsidP="00DB2B88">
      <w:pPr>
        <w:spacing w:before="120"/>
        <w:rPr>
          <w:rFonts w:ascii="Arial" w:hAnsi="Arial" w:cs="Arial"/>
          <w:b/>
          <w:sz w:val="20"/>
        </w:rPr>
      </w:pPr>
      <w:r w:rsidRPr="00522920">
        <w:rPr>
          <w:rFonts w:ascii="Arial" w:hAnsi="Arial" w:cs="Arial"/>
          <w:b/>
          <w:sz w:val="20"/>
        </w:rPr>
        <w:t>4.1. Bệnh bụi phổi talc cấp tính</w:t>
      </w:r>
    </w:p>
    <w:p w:rsidR="00DB2B88" w:rsidRPr="00227616" w:rsidRDefault="00DB2B88" w:rsidP="00DB2B88">
      <w:pPr>
        <w:spacing w:before="120"/>
        <w:rPr>
          <w:rFonts w:ascii="Arial" w:hAnsi="Arial" w:cs="Arial"/>
          <w:sz w:val="20"/>
        </w:rPr>
      </w:pPr>
      <w:r w:rsidRPr="00227616">
        <w:rPr>
          <w:rFonts w:ascii="Arial" w:hAnsi="Arial" w:cs="Arial"/>
          <w:sz w:val="20"/>
        </w:rPr>
        <w:t>Nồng độ bụi talc trong môi trường lao động vượt quá giới hạn tiếp xúc ngắn cho phép và nồng độ dioxyt silic (SiO</w:t>
      </w:r>
      <w:r w:rsidRPr="00522920">
        <w:rPr>
          <w:rFonts w:ascii="Arial" w:hAnsi="Arial" w:cs="Arial"/>
          <w:sz w:val="20"/>
          <w:vertAlign w:val="subscript"/>
        </w:rPr>
        <w:t>2</w:t>
      </w:r>
      <w:r w:rsidRPr="00227616">
        <w:rPr>
          <w:rFonts w:ascii="Arial" w:hAnsi="Arial" w:cs="Arial"/>
          <w:sz w:val="20"/>
        </w:rPr>
        <w:t>) hoặc amiăng trong giới hạn cho phép theo quy chuẩn, tiêu chuẩn hiện hành.</w:t>
      </w:r>
    </w:p>
    <w:p w:rsidR="00DB2B88" w:rsidRPr="00522920" w:rsidRDefault="00DB2B88" w:rsidP="00DB2B88">
      <w:pPr>
        <w:spacing w:before="120"/>
        <w:rPr>
          <w:rFonts w:ascii="Arial" w:hAnsi="Arial" w:cs="Arial"/>
          <w:b/>
          <w:sz w:val="20"/>
        </w:rPr>
      </w:pPr>
      <w:r w:rsidRPr="00522920">
        <w:rPr>
          <w:rFonts w:ascii="Arial" w:hAnsi="Arial" w:cs="Arial"/>
          <w:b/>
          <w:sz w:val="20"/>
        </w:rPr>
        <w:t>4.2. Bệnh bụi phổi talc mạn tính</w:t>
      </w:r>
    </w:p>
    <w:p w:rsidR="00DB2B88" w:rsidRPr="00227616" w:rsidRDefault="00DB2B88" w:rsidP="00DB2B88">
      <w:pPr>
        <w:spacing w:before="120"/>
        <w:rPr>
          <w:rFonts w:ascii="Arial" w:hAnsi="Arial" w:cs="Arial"/>
          <w:sz w:val="20"/>
        </w:rPr>
      </w:pPr>
      <w:r w:rsidRPr="00227616">
        <w:rPr>
          <w:rFonts w:ascii="Arial" w:hAnsi="Arial" w:cs="Arial"/>
          <w:sz w:val="20"/>
        </w:rPr>
        <w:t>Nồng độ bụi talc trong môi trường lao động vượt quá giới hạn tiếp xúc ca làm việc cho phép và nồng độ dioxyt silic (SiO</w:t>
      </w:r>
      <w:r w:rsidRPr="00522920">
        <w:rPr>
          <w:rFonts w:ascii="Arial" w:hAnsi="Arial" w:cs="Arial"/>
          <w:sz w:val="20"/>
          <w:vertAlign w:val="subscript"/>
        </w:rPr>
        <w:t>2</w:t>
      </w:r>
      <w:r w:rsidRPr="00227616">
        <w:rPr>
          <w:rFonts w:ascii="Arial" w:hAnsi="Arial" w:cs="Arial"/>
          <w:sz w:val="20"/>
        </w:rPr>
        <w:t>) hoặc amiăng trong giới hạn cho phép theo quy chuẩn, tiêu chuẩn hiện hành.</w:t>
      </w:r>
    </w:p>
    <w:p w:rsidR="00DB2B88" w:rsidRPr="00522920" w:rsidRDefault="00DB2B88" w:rsidP="00DB2B88">
      <w:pPr>
        <w:spacing w:before="120"/>
        <w:rPr>
          <w:rFonts w:ascii="Arial" w:hAnsi="Arial" w:cs="Arial"/>
          <w:b/>
          <w:sz w:val="20"/>
        </w:rPr>
      </w:pPr>
      <w:r w:rsidRPr="00522920">
        <w:rPr>
          <w:rFonts w:ascii="Arial" w:hAnsi="Arial" w:cs="Arial"/>
          <w:b/>
          <w:sz w:val="20"/>
        </w:rPr>
        <w:t>5. Thời gian tiếp xúc tối thiểu</w:t>
      </w:r>
    </w:p>
    <w:p w:rsidR="00DB2B88" w:rsidRPr="00227616" w:rsidRDefault="00DB2B88" w:rsidP="00DB2B88">
      <w:pPr>
        <w:spacing w:before="120"/>
        <w:rPr>
          <w:rFonts w:ascii="Arial" w:hAnsi="Arial" w:cs="Arial"/>
          <w:sz w:val="20"/>
        </w:rPr>
      </w:pPr>
      <w:r w:rsidRPr="00227616">
        <w:rPr>
          <w:rFonts w:ascii="Arial" w:hAnsi="Arial" w:cs="Arial"/>
          <w:sz w:val="20"/>
        </w:rPr>
        <w:t>10 năm.</w:t>
      </w:r>
    </w:p>
    <w:p w:rsidR="00DB2B88" w:rsidRPr="00522920" w:rsidRDefault="00DB2B88" w:rsidP="00DB2B88">
      <w:pPr>
        <w:spacing w:before="120"/>
        <w:rPr>
          <w:rFonts w:ascii="Arial" w:hAnsi="Arial" w:cs="Arial"/>
          <w:b/>
          <w:sz w:val="20"/>
        </w:rPr>
      </w:pPr>
      <w:r w:rsidRPr="00522920">
        <w:rPr>
          <w:rFonts w:ascii="Arial" w:hAnsi="Arial" w:cs="Arial"/>
          <w:b/>
          <w:sz w:val="20"/>
        </w:rPr>
        <w:t>6. Thời gian bảo đảm</w:t>
      </w:r>
    </w:p>
    <w:p w:rsidR="00DB2B88" w:rsidRPr="00227616" w:rsidRDefault="00DB2B88" w:rsidP="00DB2B88">
      <w:pPr>
        <w:spacing w:before="120"/>
        <w:rPr>
          <w:rFonts w:ascii="Arial" w:hAnsi="Arial" w:cs="Arial"/>
          <w:sz w:val="20"/>
        </w:rPr>
      </w:pPr>
      <w:r w:rsidRPr="00227616">
        <w:rPr>
          <w:rFonts w:ascii="Arial" w:hAnsi="Arial" w:cs="Arial"/>
          <w:sz w:val="20"/>
        </w:rPr>
        <w:t>35 năm.</w:t>
      </w:r>
    </w:p>
    <w:p w:rsidR="00DB2B88" w:rsidRPr="00522920" w:rsidRDefault="00DB2B88" w:rsidP="00DB2B88">
      <w:pPr>
        <w:spacing w:before="120"/>
        <w:rPr>
          <w:rFonts w:ascii="Arial" w:hAnsi="Arial" w:cs="Arial"/>
          <w:b/>
          <w:sz w:val="20"/>
        </w:rPr>
      </w:pPr>
      <w:r w:rsidRPr="00522920">
        <w:rPr>
          <w:rFonts w:ascii="Arial" w:hAnsi="Arial" w:cs="Arial"/>
          <w:b/>
          <w:sz w:val="20"/>
        </w:rPr>
        <w:t>7. Chẩn đoán</w:t>
      </w:r>
    </w:p>
    <w:p w:rsidR="00DB2B88" w:rsidRPr="00522920" w:rsidRDefault="00DB2B88" w:rsidP="00DB2B88">
      <w:pPr>
        <w:spacing w:before="120"/>
        <w:rPr>
          <w:rFonts w:ascii="Arial" w:hAnsi="Arial" w:cs="Arial"/>
          <w:b/>
          <w:sz w:val="20"/>
        </w:rPr>
      </w:pPr>
      <w:r w:rsidRPr="00522920">
        <w:rPr>
          <w:rFonts w:ascii="Arial" w:hAnsi="Arial" w:cs="Arial"/>
          <w:b/>
          <w:sz w:val="20"/>
        </w:rPr>
        <w:t>7.1. Lâm sàng</w:t>
      </w:r>
    </w:p>
    <w:p w:rsidR="00DB2B88" w:rsidRPr="00227616" w:rsidRDefault="00DB2B88" w:rsidP="00DB2B88">
      <w:pPr>
        <w:spacing w:before="120"/>
        <w:rPr>
          <w:rFonts w:ascii="Arial" w:hAnsi="Arial" w:cs="Arial"/>
          <w:sz w:val="20"/>
        </w:rPr>
      </w:pPr>
      <w:r w:rsidRPr="00227616">
        <w:rPr>
          <w:rFonts w:ascii="Arial" w:hAnsi="Arial" w:cs="Arial"/>
          <w:sz w:val="20"/>
        </w:rPr>
        <w:t>Có thể có những triệu chứng sau:</w:t>
      </w:r>
    </w:p>
    <w:p w:rsidR="00DB2B88" w:rsidRPr="00227616" w:rsidRDefault="00DB2B88" w:rsidP="00DB2B88">
      <w:pPr>
        <w:spacing w:before="120"/>
        <w:rPr>
          <w:rFonts w:ascii="Arial" w:hAnsi="Arial" w:cs="Arial"/>
          <w:sz w:val="20"/>
        </w:rPr>
      </w:pPr>
      <w:r w:rsidRPr="00227616">
        <w:rPr>
          <w:rFonts w:ascii="Arial" w:hAnsi="Arial" w:cs="Arial"/>
          <w:sz w:val="20"/>
        </w:rPr>
        <w:t>- Mệt mỏi, suy nhược;</w:t>
      </w:r>
    </w:p>
    <w:p w:rsidR="00DB2B88" w:rsidRPr="00227616" w:rsidRDefault="00DB2B88" w:rsidP="00DB2B88">
      <w:pPr>
        <w:spacing w:before="120"/>
        <w:rPr>
          <w:rFonts w:ascii="Arial" w:hAnsi="Arial" w:cs="Arial"/>
          <w:sz w:val="20"/>
        </w:rPr>
      </w:pPr>
      <w:r w:rsidRPr="00227616">
        <w:rPr>
          <w:rFonts w:ascii="Arial" w:hAnsi="Arial" w:cs="Arial"/>
          <w:sz w:val="20"/>
        </w:rPr>
        <w:t>- Ho khạc đờm thường xuyên;</w:t>
      </w:r>
    </w:p>
    <w:p w:rsidR="00DB2B88" w:rsidRPr="00227616" w:rsidRDefault="00DB2B88" w:rsidP="00DB2B88">
      <w:pPr>
        <w:spacing w:before="120"/>
        <w:rPr>
          <w:rFonts w:ascii="Arial" w:hAnsi="Arial" w:cs="Arial"/>
          <w:sz w:val="20"/>
        </w:rPr>
      </w:pPr>
      <w:r w:rsidRPr="00227616">
        <w:rPr>
          <w:rFonts w:ascii="Arial" w:hAnsi="Arial" w:cs="Arial"/>
          <w:sz w:val="20"/>
        </w:rPr>
        <w:t>- Tức ngực, khó thở.</w:t>
      </w:r>
    </w:p>
    <w:p w:rsidR="00DB2B88" w:rsidRPr="00522920" w:rsidRDefault="00DB2B88" w:rsidP="00DB2B88">
      <w:pPr>
        <w:spacing w:before="120"/>
        <w:rPr>
          <w:rFonts w:ascii="Arial" w:hAnsi="Arial" w:cs="Arial"/>
          <w:b/>
          <w:sz w:val="20"/>
        </w:rPr>
      </w:pPr>
      <w:r w:rsidRPr="00522920">
        <w:rPr>
          <w:rFonts w:ascii="Arial" w:hAnsi="Arial" w:cs="Arial"/>
          <w:b/>
          <w:sz w:val="20"/>
        </w:rPr>
        <w:t>7.2. Cận lâm sàng</w:t>
      </w:r>
    </w:p>
    <w:p w:rsidR="00DB2B88" w:rsidRPr="00227616" w:rsidRDefault="00DB2B88" w:rsidP="00DB2B88">
      <w:pPr>
        <w:spacing w:before="120"/>
        <w:rPr>
          <w:rFonts w:ascii="Arial" w:hAnsi="Arial" w:cs="Arial"/>
          <w:sz w:val="20"/>
        </w:rPr>
      </w:pPr>
      <w:r w:rsidRPr="00227616">
        <w:rPr>
          <w:rFonts w:ascii="Arial" w:hAnsi="Arial" w:cs="Arial"/>
          <w:sz w:val="20"/>
        </w:rPr>
        <w:t>- Hình ảnh tổn thương trên phim chụp X-quang phổi thẳng (theo bộ phim mẫu của Tổ chức Lao động quốc tế (ILO) 2000 hoặc phim mẫu kỹ thuật số ILO 2011): Các nốt mờ tròn đều (p, q, r) hoặc không tròn đều (s, t, u), tập trung thành từng đám rải rác ở vùng trên và giữa phổi hoặc đám mờ lớn ký hiệu A, B, C.</w:t>
      </w:r>
    </w:p>
    <w:p w:rsidR="00DB2B88" w:rsidRPr="00227616" w:rsidRDefault="00DB2B88" w:rsidP="00DB2B88">
      <w:pPr>
        <w:spacing w:before="120"/>
        <w:rPr>
          <w:rFonts w:ascii="Arial" w:hAnsi="Arial" w:cs="Arial"/>
          <w:sz w:val="20"/>
        </w:rPr>
      </w:pPr>
      <w:r w:rsidRPr="00227616">
        <w:rPr>
          <w:rFonts w:ascii="Arial" w:hAnsi="Arial" w:cs="Arial"/>
          <w:sz w:val="20"/>
        </w:rPr>
        <w:lastRenderedPageBreak/>
        <w:t>- Ngoài ra có thể có các hình ảnh khác như:</w:t>
      </w:r>
    </w:p>
    <w:p w:rsidR="00DB2B88" w:rsidRPr="00227616" w:rsidRDefault="00DB2B88" w:rsidP="00DB2B88">
      <w:pPr>
        <w:spacing w:before="120"/>
        <w:rPr>
          <w:rFonts w:ascii="Arial" w:hAnsi="Arial" w:cs="Arial"/>
          <w:sz w:val="20"/>
        </w:rPr>
      </w:pPr>
      <w:r w:rsidRPr="00227616">
        <w:rPr>
          <w:rFonts w:ascii="Arial" w:hAnsi="Arial" w:cs="Arial"/>
          <w:sz w:val="20"/>
        </w:rPr>
        <w:t>+ Khí phế thũng;</w:t>
      </w:r>
    </w:p>
    <w:p w:rsidR="00DB2B88" w:rsidRPr="00227616" w:rsidRDefault="00DB2B88" w:rsidP="00DB2B88">
      <w:pPr>
        <w:spacing w:before="120"/>
        <w:rPr>
          <w:rFonts w:ascii="Arial" w:hAnsi="Arial" w:cs="Arial"/>
          <w:sz w:val="20"/>
        </w:rPr>
      </w:pPr>
      <w:r w:rsidRPr="00227616">
        <w:rPr>
          <w:rFonts w:ascii="Arial" w:hAnsi="Arial" w:cs="Arial"/>
          <w:sz w:val="20"/>
        </w:rPr>
        <w:t>+ Dày màng phổi;</w:t>
      </w:r>
    </w:p>
    <w:p w:rsidR="00DB2B88" w:rsidRPr="00227616" w:rsidRDefault="00DB2B88" w:rsidP="00DB2B88">
      <w:pPr>
        <w:spacing w:before="120"/>
        <w:rPr>
          <w:rFonts w:ascii="Arial" w:hAnsi="Arial" w:cs="Arial"/>
          <w:sz w:val="20"/>
        </w:rPr>
      </w:pPr>
      <w:r w:rsidRPr="00227616">
        <w:rPr>
          <w:rFonts w:ascii="Arial" w:hAnsi="Arial" w:cs="Arial"/>
          <w:sz w:val="20"/>
        </w:rPr>
        <w:t>+ Bất thường góc sườn hoành.</w:t>
      </w:r>
    </w:p>
    <w:p w:rsidR="00DB2B88" w:rsidRPr="00227616" w:rsidRDefault="00DB2B88" w:rsidP="00DB2B88">
      <w:pPr>
        <w:spacing w:before="120"/>
        <w:rPr>
          <w:rFonts w:ascii="Arial" w:hAnsi="Arial" w:cs="Arial"/>
          <w:sz w:val="20"/>
        </w:rPr>
      </w:pPr>
      <w:r w:rsidRPr="00227616">
        <w:rPr>
          <w:rFonts w:ascii="Arial" w:hAnsi="Arial" w:cs="Arial"/>
          <w:sz w:val="20"/>
        </w:rPr>
        <w:t>- Chức năng hô hấp: Có thể có rối loạn thông khí phổi thể hạn chế hoặc tắc nghẽn hoặc hỗn hợp.</w:t>
      </w:r>
    </w:p>
    <w:p w:rsidR="00DB2B88" w:rsidRPr="00227616" w:rsidRDefault="00DB2B88" w:rsidP="00DB2B88">
      <w:pPr>
        <w:spacing w:before="120"/>
        <w:rPr>
          <w:rFonts w:ascii="Arial" w:hAnsi="Arial" w:cs="Arial"/>
          <w:sz w:val="20"/>
        </w:rPr>
      </w:pPr>
      <w:r w:rsidRPr="00227616">
        <w:rPr>
          <w:rFonts w:ascii="Arial" w:hAnsi="Arial" w:cs="Arial"/>
          <w:sz w:val="20"/>
        </w:rPr>
        <w:t>- Cận lâm sàng khác (nếu cần)</w:t>
      </w:r>
    </w:p>
    <w:p w:rsidR="00DB2B88" w:rsidRPr="00227616" w:rsidRDefault="00DB2B88" w:rsidP="00DB2B88">
      <w:pPr>
        <w:spacing w:before="120"/>
        <w:rPr>
          <w:rFonts w:ascii="Arial" w:hAnsi="Arial" w:cs="Arial"/>
          <w:sz w:val="20"/>
        </w:rPr>
      </w:pPr>
      <w:r w:rsidRPr="00227616">
        <w:rPr>
          <w:rFonts w:ascii="Arial" w:hAnsi="Arial" w:cs="Arial"/>
          <w:sz w:val="20"/>
        </w:rPr>
        <w:t>+ Chụp phim cắt lớp vi tính phổi.</w:t>
      </w:r>
    </w:p>
    <w:p w:rsidR="00DB2B88" w:rsidRPr="00227616" w:rsidRDefault="00DB2B88" w:rsidP="00DB2B88">
      <w:pPr>
        <w:spacing w:before="120"/>
        <w:rPr>
          <w:rFonts w:ascii="Arial" w:hAnsi="Arial" w:cs="Arial"/>
          <w:sz w:val="20"/>
        </w:rPr>
      </w:pPr>
      <w:r w:rsidRPr="00227616">
        <w:rPr>
          <w:rFonts w:ascii="Arial" w:hAnsi="Arial" w:cs="Arial"/>
          <w:sz w:val="20"/>
        </w:rPr>
        <w:t>+ Xét nghiệm đờm: Tìm tinh thể talc trong đờm.</w:t>
      </w:r>
    </w:p>
    <w:p w:rsidR="00DB2B88" w:rsidRPr="00522920" w:rsidRDefault="00DB2B88" w:rsidP="00DB2B88">
      <w:pPr>
        <w:spacing w:before="120"/>
        <w:rPr>
          <w:rFonts w:ascii="Arial" w:hAnsi="Arial" w:cs="Arial"/>
          <w:b/>
          <w:sz w:val="20"/>
        </w:rPr>
      </w:pPr>
      <w:r w:rsidRPr="00522920">
        <w:rPr>
          <w:rFonts w:ascii="Arial" w:hAnsi="Arial" w:cs="Arial"/>
          <w:b/>
          <w:sz w:val="20"/>
        </w:rPr>
        <w:t>8. Tiến triển, biến chứng</w:t>
      </w:r>
    </w:p>
    <w:p w:rsidR="00DB2B88" w:rsidRPr="00227616" w:rsidRDefault="00DB2B88" w:rsidP="00DB2B88">
      <w:pPr>
        <w:spacing w:before="120"/>
        <w:rPr>
          <w:rFonts w:ascii="Arial" w:hAnsi="Arial" w:cs="Arial"/>
          <w:sz w:val="20"/>
        </w:rPr>
      </w:pPr>
      <w:r w:rsidRPr="00227616">
        <w:rPr>
          <w:rFonts w:ascii="Arial" w:hAnsi="Arial" w:cs="Arial"/>
          <w:sz w:val="20"/>
        </w:rPr>
        <w:t>- Tâm phế mạn;</w:t>
      </w:r>
    </w:p>
    <w:p w:rsidR="00DB2B88" w:rsidRPr="00227616" w:rsidRDefault="00DB2B88" w:rsidP="00DB2B88">
      <w:pPr>
        <w:spacing w:before="120"/>
        <w:rPr>
          <w:rFonts w:ascii="Arial" w:hAnsi="Arial" w:cs="Arial"/>
          <w:sz w:val="20"/>
        </w:rPr>
      </w:pPr>
      <w:r w:rsidRPr="00227616">
        <w:rPr>
          <w:rFonts w:ascii="Arial" w:hAnsi="Arial" w:cs="Arial"/>
          <w:sz w:val="20"/>
        </w:rPr>
        <w:t>- Bệnh phổi tắc nghẽn mạn tính (COPD);</w:t>
      </w:r>
    </w:p>
    <w:p w:rsidR="00DB2B88" w:rsidRPr="00227616" w:rsidRDefault="00DB2B88" w:rsidP="00DB2B88">
      <w:pPr>
        <w:spacing w:before="120"/>
        <w:rPr>
          <w:rFonts w:ascii="Arial" w:hAnsi="Arial" w:cs="Arial"/>
          <w:sz w:val="20"/>
        </w:rPr>
      </w:pPr>
      <w:r w:rsidRPr="00227616">
        <w:rPr>
          <w:rFonts w:ascii="Arial" w:hAnsi="Arial" w:cs="Arial"/>
          <w:sz w:val="20"/>
        </w:rPr>
        <w:t>- Tràn khí tự phát.</w:t>
      </w:r>
    </w:p>
    <w:p w:rsidR="00DB2B88" w:rsidRPr="00522920" w:rsidRDefault="00DB2B88" w:rsidP="00DB2B88">
      <w:pPr>
        <w:spacing w:before="120"/>
        <w:rPr>
          <w:rFonts w:ascii="Arial" w:hAnsi="Arial" w:cs="Arial"/>
          <w:b/>
          <w:sz w:val="20"/>
        </w:rPr>
      </w:pPr>
      <w:r w:rsidRPr="00522920">
        <w:rPr>
          <w:rFonts w:ascii="Arial" w:hAnsi="Arial" w:cs="Arial"/>
          <w:b/>
          <w:sz w:val="20"/>
        </w:rPr>
        <w:t>9. Bệnh kết hợp</w:t>
      </w:r>
    </w:p>
    <w:p w:rsidR="00DB2B88" w:rsidRPr="00227616" w:rsidRDefault="00DB2B88" w:rsidP="00DB2B88">
      <w:pPr>
        <w:spacing w:before="120"/>
        <w:rPr>
          <w:rFonts w:ascii="Arial" w:hAnsi="Arial" w:cs="Arial"/>
          <w:sz w:val="20"/>
        </w:rPr>
      </w:pPr>
      <w:r w:rsidRPr="00227616">
        <w:rPr>
          <w:rFonts w:ascii="Arial" w:hAnsi="Arial" w:cs="Arial"/>
          <w:sz w:val="20"/>
        </w:rPr>
        <w:t>Lao phổi.</w:t>
      </w:r>
    </w:p>
    <w:p w:rsidR="00DB2B88" w:rsidRPr="00522920" w:rsidRDefault="00DB2B88" w:rsidP="00DB2B88">
      <w:pPr>
        <w:spacing w:before="120"/>
        <w:rPr>
          <w:rFonts w:ascii="Arial" w:hAnsi="Arial" w:cs="Arial"/>
          <w:b/>
          <w:sz w:val="20"/>
        </w:rPr>
      </w:pPr>
      <w:r w:rsidRPr="00522920">
        <w:rPr>
          <w:rFonts w:ascii="Arial" w:hAnsi="Arial" w:cs="Arial"/>
          <w:b/>
          <w:sz w:val="20"/>
        </w:rPr>
        <w:t>10. Chẩn đoán phân biệt</w:t>
      </w:r>
    </w:p>
    <w:p w:rsidR="00DB2B88" w:rsidRPr="00227616" w:rsidRDefault="00DB2B88" w:rsidP="00DB2B88">
      <w:pPr>
        <w:spacing w:before="120"/>
        <w:rPr>
          <w:rFonts w:ascii="Arial" w:hAnsi="Arial" w:cs="Arial"/>
          <w:sz w:val="20"/>
        </w:rPr>
      </w:pPr>
      <w:r w:rsidRPr="00227616">
        <w:rPr>
          <w:rFonts w:ascii="Arial" w:hAnsi="Arial" w:cs="Arial"/>
          <w:sz w:val="20"/>
        </w:rPr>
        <w:t>- Bệnh lao phổi đơn thuần;</w:t>
      </w:r>
    </w:p>
    <w:p w:rsidR="00DB2B88" w:rsidRPr="00227616" w:rsidRDefault="00DB2B88" w:rsidP="00DB2B88">
      <w:pPr>
        <w:spacing w:before="120"/>
        <w:rPr>
          <w:rFonts w:ascii="Arial" w:hAnsi="Arial" w:cs="Arial"/>
          <w:sz w:val="20"/>
        </w:rPr>
      </w:pPr>
      <w:r w:rsidRPr="00227616">
        <w:rPr>
          <w:rFonts w:ascii="Arial" w:hAnsi="Arial" w:cs="Arial"/>
          <w:sz w:val="20"/>
        </w:rPr>
        <w:t>- Bệnh bụi phổi silic đơn thuần;</w:t>
      </w:r>
    </w:p>
    <w:p w:rsidR="00DB2B88" w:rsidRPr="00227616" w:rsidRDefault="00DB2B88" w:rsidP="00DB2B88">
      <w:pPr>
        <w:spacing w:before="120"/>
        <w:rPr>
          <w:rFonts w:ascii="Arial" w:hAnsi="Arial" w:cs="Arial"/>
          <w:sz w:val="20"/>
        </w:rPr>
      </w:pPr>
      <w:r w:rsidRPr="00227616">
        <w:rPr>
          <w:rFonts w:ascii="Arial" w:hAnsi="Arial" w:cs="Arial"/>
          <w:sz w:val="20"/>
        </w:rPr>
        <w:t>- Bệnh bụi phổi amiăng đơn thuần;</w:t>
      </w:r>
    </w:p>
    <w:p w:rsidR="00DB2B88" w:rsidRPr="00227616" w:rsidRDefault="00DB2B88" w:rsidP="00DB2B88">
      <w:pPr>
        <w:spacing w:before="120"/>
        <w:rPr>
          <w:rFonts w:ascii="Arial" w:hAnsi="Arial" w:cs="Arial"/>
          <w:sz w:val="20"/>
        </w:rPr>
      </w:pPr>
      <w:r w:rsidRPr="00227616">
        <w:rPr>
          <w:rFonts w:ascii="Arial" w:hAnsi="Arial" w:cs="Arial"/>
          <w:sz w:val="20"/>
        </w:rPr>
        <w:t>- Bệnh Sarcoidosis;</w:t>
      </w:r>
    </w:p>
    <w:p w:rsidR="00DB2B88" w:rsidRPr="00227616" w:rsidRDefault="00DB2B88" w:rsidP="00DB2B88">
      <w:pPr>
        <w:spacing w:before="120"/>
        <w:rPr>
          <w:rFonts w:ascii="Arial" w:hAnsi="Arial" w:cs="Arial"/>
          <w:sz w:val="20"/>
        </w:rPr>
      </w:pPr>
      <w:r w:rsidRPr="00227616">
        <w:rPr>
          <w:rFonts w:ascii="Arial" w:hAnsi="Arial" w:cs="Arial"/>
          <w:sz w:val="20"/>
        </w:rPr>
        <w:t>- Bệnh hệ thống tạo keo;</w:t>
      </w:r>
    </w:p>
    <w:p w:rsidR="00DB2B88" w:rsidRPr="00227616" w:rsidRDefault="00DB2B88" w:rsidP="00DB2B88">
      <w:pPr>
        <w:spacing w:before="120"/>
        <w:rPr>
          <w:rFonts w:ascii="Arial" w:hAnsi="Arial" w:cs="Arial"/>
          <w:sz w:val="20"/>
        </w:rPr>
      </w:pPr>
      <w:r w:rsidRPr="00227616">
        <w:rPr>
          <w:rFonts w:ascii="Arial" w:hAnsi="Arial" w:cs="Arial"/>
          <w:sz w:val="20"/>
        </w:rPr>
        <w:t>- Bệnh phổi nhiễm nấm (Histoplasma);</w:t>
      </w:r>
    </w:p>
    <w:p w:rsidR="00DB2B88" w:rsidRPr="00227616" w:rsidRDefault="00DB2B88" w:rsidP="00DB2B88">
      <w:pPr>
        <w:spacing w:before="120"/>
        <w:rPr>
          <w:rFonts w:ascii="Arial" w:hAnsi="Arial" w:cs="Arial"/>
          <w:sz w:val="20"/>
        </w:rPr>
      </w:pPr>
      <w:r w:rsidRPr="00227616">
        <w:rPr>
          <w:rFonts w:ascii="Arial" w:hAnsi="Arial" w:cs="Arial"/>
          <w:sz w:val="20"/>
        </w:rPr>
        <w:t>- Viêm phổi quá mẫn;</w:t>
      </w:r>
    </w:p>
    <w:p w:rsidR="00DB2B88" w:rsidRPr="00227616" w:rsidRDefault="00DB2B88" w:rsidP="00DB2B88">
      <w:pPr>
        <w:spacing w:before="120"/>
        <w:rPr>
          <w:rFonts w:ascii="Arial" w:hAnsi="Arial" w:cs="Arial"/>
          <w:sz w:val="20"/>
        </w:rPr>
      </w:pPr>
      <w:r w:rsidRPr="00227616">
        <w:rPr>
          <w:rFonts w:ascii="Arial" w:hAnsi="Arial" w:cs="Arial"/>
          <w:sz w:val="20"/>
        </w:rPr>
        <w:t>- Các bệnh phổi kẽ khác.</w:t>
      </w:r>
    </w:p>
    <w:p w:rsidR="00DB2B88" w:rsidRPr="009327AD" w:rsidRDefault="00DB2B88" w:rsidP="00DB2B88">
      <w:pPr>
        <w:spacing w:before="120"/>
        <w:rPr>
          <w:rFonts w:ascii="Arial" w:hAnsi="Arial" w:cs="Arial"/>
          <w:b/>
          <w:sz w:val="20"/>
        </w:rPr>
      </w:pPr>
      <w:r w:rsidRPr="009327AD">
        <w:rPr>
          <w:rFonts w:ascii="Arial" w:hAnsi="Arial" w:cs="Arial"/>
          <w:b/>
          <w:sz w:val="20"/>
        </w:rPr>
        <w:t>11. Hướng dẫn giám định</w:t>
      </w:r>
    </w:p>
    <w:p w:rsidR="00DB2B88" w:rsidRDefault="00DB2B88" w:rsidP="00DB2B88">
      <w:pPr>
        <w:spacing w:before="120"/>
        <w:rPr>
          <w:rFonts w:ascii="Arial" w:hAnsi="Arial" w:cs="Arial"/>
          <w:sz w:val="20"/>
          <w:lang w:val="en-US"/>
        </w:rPr>
      </w:pPr>
      <w:r w:rsidRPr="00227616">
        <w:rPr>
          <w:rFonts w:ascii="Arial" w:hAnsi="Arial" w:cs="Arial"/>
          <w:sz w:val="20"/>
        </w:rPr>
        <w:t>Bảng tỷ lệ tổn thương cơ thể do bệnh bụi phổi talc nghề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15"/>
        <w:gridCol w:w="7151"/>
        <w:gridCol w:w="1304"/>
      </w:tblGrid>
      <w:tr w:rsidR="00DB2B88" w:rsidRPr="007D441A" w:rsidTr="001474F6">
        <w:tc>
          <w:tcPr>
            <w:tcW w:w="488" w:type="pct"/>
          </w:tcPr>
          <w:p w:rsidR="00DB2B88" w:rsidRPr="007D441A" w:rsidRDefault="00DB2B88" w:rsidP="001474F6">
            <w:pPr>
              <w:spacing w:before="120"/>
              <w:jc w:val="center"/>
              <w:rPr>
                <w:rFonts w:ascii="Arial" w:eastAsia="Times New Roman" w:hAnsi="Arial" w:cs="Arial"/>
                <w:b/>
                <w:sz w:val="20"/>
              </w:rPr>
            </w:pPr>
            <w:r w:rsidRPr="007D441A">
              <w:rPr>
                <w:rFonts w:ascii="Arial" w:eastAsia="Times New Roman" w:hAnsi="Arial" w:cs="Arial"/>
                <w:b/>
                <w:sz w:val="20"/>
              </w:rPr>
              <w:t>TT</w:t>
            </w:r>
          </w:p>
        </w:tc>
        <w:tc>
          <w:tcPr>
            <w:tcW w:w="3816" w:type="pct"/>
          </w:tcPr>
          <w:p w:rsidR="00DB2B88" w:rsidRPr="007D441A" w:rsidRDefault="00DB2B88" w:rsidP="001474F6">
            <w:pPr>
              <w:spacing w:before="120"/>
              <w:jc w:val="center"/>
              <w:rPr>
                <w:rFonts w:ascii="Arial" w:eastAsia="Times New Roman" w:hAnsi="Arial" w:cs="Arial"/>
                <w:b/>
                <w:sz w:val="20"/>
              </w:rPr>
            </w:pPr>
            <w:r w:rsidRPr="007D441A">
              <w:rPr>
                <w:rFonts w:ascii="Arial" w:eastAsia="Times New Roman" w:hAnsi="Arial" w:cs="Arial"/>
                <w:b/>
                <w:sz w:val="20"/>
              </w:rPr>
              <w:t>Tổn thương cơ thể</w:t>
            </w:r>
          </w:p>
        </w:tc>
        <w:tc>
          <w:tcPr>
            <w:tcW w:w="696" w:type="pct"/>
          </w:tcPr>
          <w:p w:rsidR="00DB2B88" w:rsidRPr="007D441A" w:rsidRDefault="00DB2B88" w:rsidP="001474F6">
            <w:pPr>
              <w:spacing w:before="120"/>
              <w:jc w:val="center"/>
              <w:rPr>
                <w:rFonts w:ascii="Arial" w:eastAsia="Times New Roman" w:hAnsi="Arial" w:cs="Arial"/>
                <w:b/>
                <w:sz w:val="20"/>
              </w:rPr>
            </w:pPr>
            <w:r w:rsidRPr="007D441A">
              <w:rPr>
                <w:rFonts w:ascii="Arial" w:eastAsia="Times New Roman" w:hAnsi="Arial" w:cs="Arial"/>
                <w:b/>
                <w:sz w:val="20"/>
              </w:rPr>
              <w:t>Tỷ lệ (%)</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1.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Hình ảnh tổn thương phổi trên phim X-quang phổi thẳng (*)</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1.1.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Hình ảnh nốt mờ nhỏ (tương đương với thể p, q, r, s, t, u trên phim mẫu của Tổ chức Lao động quốc tế (ILO) 1980 hoặc ILO 2000 hoặc phim mẫu kỹ thuật số ILO 2011)</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1.1.1.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0/1 p(s); 0/1q(t); 0/1r(u)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11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1.1.2.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1/0 p(s);1/0 q(t)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1.1.3.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1/0 r(u); 1/1 p(s); 1/1 q(t)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41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1.1.4.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1/1 r(u); 1/2 p(s); 1/2 q(t)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45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1.1.5.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1/2 r(u); 2/2 p(s); 2/2 q(t)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51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1.1.6.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2/2 r(u); 2/3 p(s); 2/3 q(t)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55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1.1.7.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2/3 r(u); 3/3 p(s); 3/3 q(t)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61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lastRenderedPageBreak/>
              <w:t xml:space="preserve">1.1.8.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3/3 r(u); 3/+ p(s) và 3/+ q(t)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65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1.2.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Hình ảnh đám mờ lớn - Xơ hóa khối</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1.2.1.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A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65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1.2.2.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B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71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1.2.3.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Thể C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81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Hình ảnh tổn thương màng phổi (*) (Hình ảnh trên phim X-quang phổi thẳng - có so sánh phim mẫu của Tổ chức Lao động quốc tế (ILO) 1980 hoặc ILO 2000 hoặc phim mẫu kỹ thuật số ILO 2011)</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2.1.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Dày màng phổi khu trú/mảng màng phổi - có hoặc không có can xi hóa màng phổi</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2.1.1.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Độ dày dưới 5mm (Ký hiệu = a trên phim mẫu)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25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2.1.2.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Độ dày từ 5mm đến 10mm (Ký hiệu = b trên phim mẫu)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2.1.3.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Độ dày trên 10 mm (Ký hiệu = c trên phim mẫu)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51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Bất thường/tù góc sườn hoành một bên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25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2.3.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Dày màng phổi lan tỏa - có hoặc không có can xi hóa màng phổi</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2.3.1.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Tổng đường kính dưới 2cm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25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2.3.2.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Tổng đường kính từ 2cm đến 10cm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2.3.3.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Tổng đường kính trên 10cm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45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p>
        </w:tc>
        <w:tc>
          <w:tcPr>
            <w:tcW w:w="3816" w:type="pct"/>
          </w:tcPr>
          <w:p w:rsidR="00DB2B88" w:rsidRPr="007D441A" w:rsidRDefault="00DB2B88" w:rsidP="001474F6">
            <w:pPr>
              <w:spacing w:before="120"/>
              <w:rPr>
                <w:rFonts w:ascii="Arial" w:eastAsia="Times New Roman" w:hAnsi="Arial" w:cs="Arial"/>
                <w:i/>
                <w:sz w:val="20"/>
              </w:rPr>
            </w:pPr>
            <w:r w:rsidRPr="007D441A">
              <w:rPr>
                <w:rFonts w:ascii="Arial" w:eastAsia="Times New Roman" w:hAnsi="Arial" w:cs="Arial"/>
                <w:i/>
                <w:sz w:val="20"/>
              </w:rPr>
              <w:t>Lưu ý: Các tổn thương tại Mục 1 (chỉ tính từ thể 1/0 trở lên) hoặc Mục 2 nếu có rối loạn thông khí phổi thì tỷ lệ tổn thương được cộng lùi với tỷ lệ rối loạn thông khí phổi tương ứng ở Mục 4 của tiêu chuẩn này</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Tràn khí màng phổi</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Điều trị tốt không để lại di chứng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Tràn khí màng phổi tái phát phải điều trị không để lại di chứng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6 - 10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3.3.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Tràn khí màng phổi để lại di chứng dày dính màng phổi, không rối loạn thông khí phổi</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3.3.1.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Diện tích dưới một nửa phế trường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21 - 25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3.3.2.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Diện tích từ một nửa phế trường trở lên ở 1 bên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26 - 30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3.3.3.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Diện tích dưới một nửa phế trường ở 2 bên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31 - 35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3.3.4.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Diện tích từ một nửa phế trường trở lên ở 2 bên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36 - 40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3.4.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Tràn khí màng phổi để lại di chứng dày dính màng phổi, có rối loạn thông khí phổi: Áp dụng tỷ lệ ở Mục 3.3 cộng lùi với tỷ lệ rối loạn thông khí phổi tương ứng ở Mục 4. Tỷ lệ này đã bao gồm cả suy nhược cơ thể</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4.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Rối loạn thông khí phổi</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4.1.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Mức nhẹ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11 - 15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4.2.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Mức trung bình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16 - 20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4.3.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Mức nặng và rất nặng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31 - 35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5.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Tâm phế mạn</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lastRenderedPageBreak/>
              <w:t xml:space="preserve">5.1.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Mức độ 1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16 - 20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5.2.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Mức độ 2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31 - 35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5.3.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Mức độ 3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51 - 55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5.4.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Mức độ 4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81</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Bệnh kết hợp (lao phổi)</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6.1.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Đáp ứng điều trị</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6.1.1.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Không tái phát, không di chứng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11 - 15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6.1.2.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Điều trị có kết quả tốt, nhưng để lại di chứng tương tự như giãn phế quản, xơ phổi (có hoặc không kèm theo vôi hóa)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36 - 40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6.1.3.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Có tái phát, không để lại di chứng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46 - 50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Điều trị không có kết quả (thất bại điều trị hoặc tái phát). Tỷ lệ này đã bao gồm cả tỷ lệ suy nhược cơ thể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61 - 65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6.3.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Bệnh tật như Mục 6.1; 6.2 và có di chứng, biến chứng do dùng thuốc chống lao hoặc biến chứng, di chứng khác tương tự như rối loạn thông khí hoặc tâm phế mạn hoặc xẹp phổi thì được cộng lùi với tỷ lệ tổn thương cơ thể ở các cơ quan, bộ phận tương ứng quy định tại Bảng 2 của Thông tư số 28/2013/TTLB-BYT-BLĐTBXH</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6.4.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Lao phổi phải mổ cắt thùy phổi: Cộng lùi tỷ lệ Mục 6.1; Mục 6.2; Mục 6.3 với tỷ lệ mổ cắt phổi được quy định tại Mục 6.5</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6.5</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Mổ cắt phổi</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6.5.1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Mổ cắt phổi không điển hình (dưới một thùy phổi)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21 - 25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6.5.2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Mổ cắt từ một thùy phổi trở lên</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31 - 35</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6.5.3 </w:t>
            </w:r>
          </w:p>
        </w:tc>
        <w:tc>
          <w:tcPr>
            <w:tcW w:w="3816" w:type="pct"/>
          </w:tcPr>
          <w:p w:rsidR="00DB2B88" w:rsidRPr="007D441A" w:rsidRDefault="00DB2B88" w:rsidP="001474F6">
            <w:pPr>
              <w:spacing w:before="120"/>
              <w:rPr>
                <w:rFonts w:ascii="Arial" w:eastAsia="Times New Roman" w:hAnsi="Arial" w:cs="Arial"/>
                <w:sz w:val="20"/>
                <w:lang w:val="en-US"/>
              </w:rPr>
            </w:pPr>
            <w:r w:rsidRPr="007D441A">
              <w:rPr>
                <w:rFonts w:ascii="Arial" w:eastAsia="Times New Roman" w:hAnsi="Arial" w:cs="Arial"/>
                <w:sz w:val="20"/>
              </w:rPr>
              <w:t xml:space="preserve">Mổ cắt bỏ toàn bộ một phổi </w:t>
            </w:r>
          </w:p>
        </w:tc>
        <w:tc>
          <w:tcPr>
            <w:tcW w:w="696" w:type="pct"/>
          </w:tcPr>
          <w:p w:rsidR="00DB2B88" w:rsidRPr="007D441A" w:rsidRDefault="00DB2B88" w:rsidP="001474F6">
            <w:pPr>
              <w:spacing w:before="120"/>
              <w:jc w:val="center"/>
              <w:rPr>
                <w:rFonts w:ascii="Arial" w:eastAsia="Times New Roman" w:hAnsi="Arial" w:cs="Arial"/>
                <w:sz w:val="20"/>
              </w:rPr>
            </w:pPr>
            <w:r w:rsidRPr="007D441A">
              <w:rPr>
                <w:rFonts w:ascii="Arial" w:eastAsia="Times New Roman" w:hAnsi="Arial" w:cs="Arial"/>
                <w:sz w:val="20"/>
              </w:rPr>
              <w:t>56 - 60</w:t>
            </w: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6.6.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Bệnh tật như Mục 6.1; 6.2; 6.3; 6.4 và có di chứng, biến chứng do dùng thuốc chống lao thì được cộng lùi với tỷ lệ tổn thương cơ thể ở các cơ quan, bộ phận tương ứng quy định tại Bảng 2 của Thông tư số 28/2013/TTLB-BYT-BLĐTBXH, nếu chưa được quy định khác tại thông tư này</w:t>
            </w:r>
          </w:p>
        </w:tc>
        <w:tc>
          <w:tcPr>
            <w:tcW w:w="696" w:type="pct"/>
          </w:tcPr>
          <w:p w:rsidR="00DB2B88" w:rsidRPr="007D441A" w:rsidRDefault="00DB2B88" w:rsidP="001474F6">
            <w:pPr>
              <w:spacing w:before="120"/>
              <w:jc w:val="center"/>
              <w:rPr>
                <w:rFonts w:ascii="Arial" w:eastAsia="Times New Roman" w:hAnsi="Arial" w:cs="Arial"/>
                <w:sz w:val="20"/>
              </w:rPr>
            </w:pPr>
          </w:p>
        </w:tc>
      </w:tr>
      <w:tr w:rsidR="00DB2B88" w:rsidRPr="007D441A" w:rsidTr="001474F6">
        <w:tc>
          <w:tcPr>
            <w:tcW w:w="488"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 xml:space="preserve">7. </w:t>
            </w:r>
          </w:p>
        </w:tc>
        <w:tc>
          <w:tcPr>
            <w:tcW w:w="3816" w:type="pct"/>
          </w:tcPr>
          <w:p w:rsidR="00DB2B88" w:rsidRPr="007D441A" w:rsidRDefault="00DB2B88" w:rsidP="001474F6">
            <w:pPr>
              <w:spacing w:before="120"/>
              <w:rPr>
                <w:rFonts w:ascii="Arial" w:eastAsia="Times New Roman" w:hAnsi="Arial" w:cs="Arial"/>
                <w:sz w:val="20"/>
              </w:rPr>
            </w:pPr>
            <w:r w:rsidRPr="007D441A">
              <w:rPr>
                <w:rFonts w:ascii="Arial" w:eastAsia="Times New Roman" w:hAnsi="Arial" w:cs="Arial"/>
                <w:sz w:val="20"/>
              </w:rPr>
              <w:t>Với đối tượng dưới 25 tuổi (có thể bệnh từ 1/0 trở lên hoặc có độ dày màng phổi từ 5mm trở lên) được cộng lùi 5% - 10% vào tỷ lệ chung của suy giảm khả năng lao động</w:t>
            </w:r>
          </w:p>
        </w:tc>
        <w:tc>
          <w:tcPr>
            <w:tcW w:w="696" w:type="pct"/>
          </w:tcPr>
          <w:p w:rsidR="00DB2B88" w:rsidRPr="007D441A" w:rsidRDefault="00DB2B88" w:rsidP="001474F6">
            <w:pPr>
              <w:spacing w:before="120"/>
              <w:jc w:val="center"/>
              <w:rPr>
                <w:rFonts w:ascii="Arial" w:eastAsia="Times New Roman" w:hAnsi="Arial" w:cs="Arial"/>
                <w:sz w:val="20"/>
              </w:rPr>
            </w:pPr>
          </w:p>
        </w:tc>
      </w:tr>
    </w:tbl>
    <w:p w:rsidR="00DB2B88" w:rsidRPr="009327AD" w:rsidRDefault="00DB2B88" w:rsidP="00DB2B88">
      <w:pPr>
        <w:spacing w:before="120"/>
        <w:rPr>
          <w:rFonts w:ascii="Arial" w:hAnsi="Arial" w:cs="Arial"/>
          <w:i/>
          <w:sz w:val="20"/>
          <w:lang w:val="en-US"/>
        </w:rPr>
      </w:pPr>
      <w:r w:rsidRPr="009327AD">
        <w:rPr>
          <w:rFonts w:ascii="Arial" w:hAnsi="Arial" w:cs="Arial"/>
          <w:i/>
          <w:sz w:val="20"/>
        </w:rPr>
        <w:t>(*) Yêu cầu kỹ thuật chụp phim X-quang phổi thẳng theo tiêu chuẩn của Tổ chức Lao động quốc tế (ILO).</w:t>
      </w:r>
    </w:p>
    <w:p w:rsidR="00DB2B88" w:rsidRPr="00E47FE5" w:rsidRDefault="00DB2B88" w:rsidP="00DB2B88">
      <w:pPr>
        <w:spacing w:before="120"/>
        <w:rPr>
          <w:rFonts w:ascii="Arial" w:hAnsi="Arial" w:cs="Arial"/>
          <w:sz w:val="20"/>
          <w:lang w:val="en-US"/>
        </w:rPr>
      </w:pPr>
    </w:p>
    <w:p w:rsidR="00A71A13" w:rsidRDefault="00A71A13"/>
    <w:sectPr w:rsidR="00A71A13" w:rsidSect="00A71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B2B88"/>
    <w:rsid w:val="00A71A13"/>
    <w:rsid w:val="00DB2B88"/>
    <w:rsid w:val="00E30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88"/>
    <w:pPr>
      <w:widowControl w:val="0"/>
      <w:spacing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Company>Grizli777</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2023-05-23T07:31:00Z</dcterms:created>
  <dcterms:modified xsi:type="dcterms:W3CDTF">2023-05-23T07:32:00Z</dcterms:modified>
</cp:coreProperties>
</file>