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5000" w:type="pct"/>
        <w:jc w:val="start"/>
        <w:tblInd w:w="0" w:type="dxa"/>
        <w:tblLayout w:type="fixed"/>
        <w:tblCellMar>
          <w:top w:w="0" w:type="dxa"/>
          <w:start w:w="108" w:type="dxa"/>
          <w:bottom w:w="0" w:type="dxa"/>
          <w:end w:w="108" w:type="dxa"/>
        </w:tblCellMar>
        <w:tblLook w:val="0000" w:firstRow="0" w:noVBand="0" w:lastRow="0" w:firstColumn="0" w:lastColumn="0" w:noHBand="0"/>
      </w:tblPr>
      <w:tblGrid>
        <w:gridCol w:w="3428"/>
        <w:gridCol w:w="5643"/>
      </w:tblGrid>
      <w:tr>
        <w:trPr/>
        <w:tc>
          <w:tcPr>
            <w:tcW w:w="3428" w:type="dxa"/>
            <w:tcBorders/>
          </w:tcPr>
          <w:p>
            <w:pPr>
              <w:pStyle w:val="Normal"/>
              <w:spacing w:before="120" w:after="0"/>
              <w:jc w:val="center"/>
              <w:rPr>
                <w:rFonts w:ascii="Times New Roman" w:hAnsi="Times New Roman" w:cs="Times New Roman"/>
                <w:b/>
                <w:color w:themeColor="text1" w:val="000000"/>
                <w:sz w:val="26"/>
                <w:szCs w:val="26"/>
              </w:rPr>
            </w:pPr>
            <w:bookmarkStart w:id="0" w:name="_GoBack"/>
            <w:bookmarkEnd w:id="0"/>
            <w:r>
              <mc:AlternateContent>
                <mc:Choice Requires="wps">
                  <w:drawing>
                    <wp:anchor distT="0" distB="9525" distL="0" distR="0" simplePos="0" relativeHeight="3" behindDoc="0" locked="0" layoutInCell="1" allowOverlap="1" wp14:anchorId="4F336E18">
                      <wp:simplePos x="0" y="0"/>
                      <wp:positionH relativeFrom="column">
                        <wp:posOffset>760095</wp:posOffset>
                      </wp:positionH>
                      <wp:positionV relativeFrom="paragraph">
                        <wp:posOffset>323850</wp:posOffset>
                      </wp:positionV>
                      <wp:extent cx="590550" cy="9525"/>
                      <wp:effectExtent l="0" t="3810" r="635" b="3175"/>
                      <wp:wrapNone/>
                      <wp:docPr id="1" name="Straight Connector 2"/>
                      <a:graphic xmlns:a="http://schemas.openxmlformats.org/drawingml/2006/main">
                        <a:graphicData uri="http://schemas.microsoft.com/office/word/2010/wordprocessingShape">
                          <wps:wsp>
                            <wps:cNvSpPr/>
                            <wps:spPr>
                              <a:xfrm flipV="1">
                                <a:off x="0" y="0"/>
                                <a:ext cx="590400" cy="9360"/>
                              </a:xfrm>
                              <a:prstGeom prst="line">
                                <a:avLst/>
                              </a:prstGeom>
                              <a:ln w="6350">
                                <a:solidFill>
                                  <a:srgbClr val="000000"/>
                                </a:solidFill>
                                <a:miter/>
                              </a:ln>
                            </wps:spPr>
                            <wps:style>
                              <a:lnRef idx="0"/>
                              <a:fillRef idx="0"/>
                              <a:effectRef idx="0"/>
                              <a:fontRef idx="minor"/>
                            </wps:style>
                            <wps:bodyPr/>
                          </wps:wsp>
                        </a:graphicData>
                      </a:graphic>
                    </wp:anchor>
                  </w:drawing>
                </mc:Choice>
                <mc:Fallback>
                  <w:pict>
                    <v:line id="shape_0" from="59.85pt,25.5pt" to="106.3pt,26.2pt" stroked="t" o:allowincell="t" style="position:absolute;flip:y" wp14:anchorId="4F336E18">
                      <v:stroke color="black" weight="6480" joinstyle="miter" endcap="flat"/>
                      <v:fill o:detectmouseclick="t" on="false"/>
                      <w10:wrap type="none"/>
                    </v:line>
                  </w:pict>
                </mc:Fallback>
              </mc:AlternateContent>
            </w:r>
            <w:r>
              <w:rPr>
                <w:rFonts w:cs="Times New Roman" w:ascii="Times New Roman" w:hAnsi="Times New Roman"/>
                <w:b/>
                <w:bCs/>
                <w:color w:themeColor="text1" w:val="000000"/>
                <w:sz w:val="26"/>
                <w:szCs w:val="26"/>
                <w:lang w:val="en-US"/>
              </w:rPr>
              <w:t>QU</w:t>
            </w:r>
            <w:r>
              <w:rPr>
                <w:rFonts w:cs="Times New Roman" w:ascii="Times New Roman" w:hAnsi="Times New Roman"/>
                <w:b/>
                <w:bCs/>
                <w:color w:themeColor="text1" w:val="000000"/>
                <w:sz w:val="26"/>
                <w:szCs w:val="26"/>
              </w:rPr>
              <w:t>ỐC HỘI</w:t>
            </w:r>
            <w:r>
              <w:rPr>
                <w:rFonts w:cs="Times New Roman" w:ascii="Times New Roman" w:hAnsi="Times New Roman"/>
                <w:b/>
                <w:color w:themeColor="text1" w:val="000000"/>
                <w:sz w:val="26"/>
                <w:szCs w:val="26"/>
              </w:rPr>
              <w:br/>
            </w:r>
          </w:p>
        </w:tc>
        <w:tc>
          <w:tcPr>
            <w:tcW w:w="5643" w:type="dxa"/>
            <w:tcBorders/>
          </w:tcPr>
          <w:p>
            <w:pPr>
              <w:pStyle w:val="Normal"/>
              <w:spacing w:before="120" w:after="0"/>
              <w:jc w:val="center"/>
              <w:rPr>
                <w:rFonts w:ascii="Times New Roman" w:hAnsi="Times New Roman" w:cs="Times New Roman"/>
                <w:color w:themeColor="text1" w:val="000000"/>
                <w:sz w:val="26"/>
                <w:szCs w:val="26"/>
              </w:rPr>
            </w:pPr>
            <w:r>
              <mc:AlternateContent>
                <mc:Choice Requires="wps">
                  <w:drawing>
                    <wp:anchor distT="0" distB="0" distL="0" distR="0" simplePos="0" relativeHeight="2" behindDoc="0" locked="0" layoutInCell="1" allowOverlap="1" wp14:anchorId="1D200AC9">
                      <wp:simplePos x="0" y="0"/>
                      <wp:positionH relativeFrom="column">
                        <wp:posOffset>704215</wp:posOffset>
                      </wp:positionH>
                      <wp:positionV relativeFrom="paragraph">
                        <wp:posOffset>542290</wp:posOffset>
                      </wp:positionV>
                      <wp:extent cx="2152650" cy="635"/>
                      <wp:effectExtent l="635" t="3175" r="635" b="3810"/>
                      <wp:wrapNone/>
                      <wp:docPr id="2" name="Straight Connector 1"/>
                      <a:graphic xmlns:a="http://schemas.openxmlformats.org/drawingml/2006/main">
                        <a:graphicData uri="http://schemas.microsoft.com/office/word/2010/wordprocessingShape">
                          <wps:wsp>
                            <wps:cNvSpPr/>
                            <wps:spPr>
                              <a:xfrm>
                                <a:off x="0" y="0"/>
                                <a:ext cx="2152800" cy="720"/>
                              </a:xfrm>
                              <a:prstGeom prst="line">
                                <a:avLst/>
                              </a:prstGeom>
                              <a:ln w="6350">
                                <a:solidFill>
                                  <a:srgbClr val="000000"/>
                                </a:solidFill>
                                <a:miter/>
                              </a:ln>
                            </wps:spPr>
                            <wps:style>
                              <a:lnRef idx="0"/>
                              <a:fillRef idx="0"/>
                              <a:effectRef idx="0"/>
                              <a:fontRef idx="minor"/>
                            </wps:style>
                            <wps:bodyPr/>
                          </wps:wsp>
                        </a:graphicData>
                      </a:graphic>
                    </wp:anchor>
                  </w:drawing>
                </mc:Choice>
                <mc:Fallback>
                  <w:pict>
                    <v:line id="shape_0" from="55.45pt,42.7pt" to="224.9pt,42.7pt" stroked="t" o:allowincell="t" style="position:absolute" wp14:anchorId="1D200AC9">
                      <v:stroke color="black" weight="6480" joinstyle="miter" endcap="flat"/>
                      <v:fill o:detectmouseclick="t" on="false"/>
                      <w10:wrap type="none"/>
                    </v:line>
                  </w:pict>
                </mc:Fallback>
              </mc:AlternateContent>
            </w:r>
            <w:r>
              <w:rPr>
                <w:rFonts w:cs="Times New Roman" w:ascii="Times New Roman" w:hAnsi="Times New Roman"/>
                <w:b/>
                <w:color w:themeColor="text1" w:val="000000"/>
                <w:sz w:val="26"/>
                <w:szCs w:val="26"/>
              </w:rPr>
              <w:t>CỘNG HÒA XÃ HỘI CHỦ NGHĨA VIỆT NAM</w:t>
              <w:br/>
            </w:r>
            <w:r>
              <w:rPr>
                <w:rFonts w:cs="Times New Roman" w:ascii="Times New Roman" w:hAnsi="Times New Roman"/>
                <w:b/>
                <w:color w:themeColor="text1" w:val="000000"/>
                <w:sz w:val="28"/>
                <w:szCs w:val="28"/>
              </w:rPr>
              <w:t>Độc lập - Tự do - Hạnh phúc</w:t>
            </w:r>
            <w:r>
              <w:rPr>
                <w:rFonts w:cs="Times New Roman" w:ascii="Times New Roman" w:hAnsi="Times New Roman"/>
                <w:b/>
                <w:color w:themeColor="text1" w:val="000000"/>
                <w:sz w:val="26"/>
                <w:szCs w:val="26"/>
              </w:rPr>
              <w:br/>
            </w:r>
          </w:p>
        </w:tc>
      </w:tr>
      <w:tr>
        <w:trPr/>
        <w:tc>
          <w:tcPr>
            <w:tcW w:w="3428" w:type="dxa"/>
            <w:tcBorders/>
          </w:tcPr>
          <w:p>
            <w:pPr>
              <w:pStyle w:val="Normal"/>
              <w:spacing w:before="120" w:after="0"/>
              <w:jc w:val="center"/>
              <w:rPr>
                <w:rFonts w:ascii="Times New Roman" w:hAnsi="Times New Roman" w:cs="Times New Roman"/>
                <w:color w:themeColor="text1" w:val="000000"/>
                <w:sz w:val="26"/>
                <w:szCs w:val="26"/>
                <w:lang w:val="en-US"/>
              </w:rPr>
            </w:pPr>
            <w:r>
              <w:rPr>
                <w:rFonts w:cs="Times New Roman" w:ascii="Times New Roman" w:hAnsi="Times New Roman"/>
                <w:color w:themeColor="text1" w:val="000000"/>
                <w:sz w:val="26"/>
                <w:szCs w:val="26"/>
                <w:lang w:val="en-US"/>
              </w:rPr>
              <w:t>Lu</w:t>
            </w:r>
            <w:r>
              <w:rPr>
                <w:rFonts w:cs="Times New Roman" w:ascii="Times New Roman" w:hAnsi="Times New Roman"/>
                <w:color w:themeColor="text1" w:val="000000"/>
                <w:sz w:val="26"/>
                <w:szCs w:val="26"/>
              </w:rPr>
              <w:t>ật số:.../20</w:t>
            </w:r>
            <w:r>
              <w:rPr>
                <w:rFonts w:cs="Times New Roman" w:ascii="Times New Roman" w:hAnsi="Times New Roman"/>
                <w:color w:themeColor="text1" w:val="000000"/>
                <w:sz w:val="26"/>
                <w:szCs w:val="26"/>
                <w:lang w:val="en-US"/>
              </w:rPr>
              <w:t>26</w:t>
            </w:r>
            <w:r>
              <w:rPr>
                <w:rFonts w:cs="Times New Roman" w:ascii="Times New Roman" w:hAnsi="Times New Roman"/>
                <w:color w:themeColor="text1" w:val="000000"/>
                <w:sz w:val="26"/>
                <w:szCs w:val="26"/>
              </w:rPr>
              <w:t>/QH</w:t>
            </w:r>
            <w:r>
              <w:rPr>
                <w:rFonts w:cs="Times New Roman" w:ascii="Times New Roman" w:hAnsi="Times New Roman"/>
                <w:color w:themeColor="text1" w:val="000000"/>
                <w:sz w:val="26"/>
                <w:szCs w:val="26"/>
                <w:lang w:val="en-US"/>
              </w:rPr>
              <w:t>16</w:t>
            </w:r>
          </w:p>
          <w:p>
            <w:pPr>
              <w:pStyle w:val="Normal"/>
              <w:spacing w:before="120" w:after="0"/>
              <w:jc w:val="center"/>
              <w:rPr>
                <w:rFonts w:ascii="Times New Roman" w:hAnsi="Times New Roman" w:cs="Times New Roman"/>
                <w:b/>
                <w:color w:themeColor="text1" w:val="000000"/>
                <w:sz w:val="26"/>
                <w:szCs w:val="26"/>
                <w:lang w:val="en-US"/>
              </w:rPr>
            </w:pPr>
            <w:r>
              <w:rPr>
                <w:rFonts w:cs="Times New Roman" w:ascii="Times New Roman" w:hAnsi="Times New Roman"/>
                <w:b/>
                <w:color w:themeColor="text1" w:val="000000"/>
                <w:sz w:val="26"/>
                <w:szCs w:val="26"/>
                <w:lang w:val="en-US"/>
              </w:rPr>
            </w:r>
          </w:p>
          <w:p>
            <w:pPr>
              <w:pStyle w:val="Normal"/>
              <w:spacing w:before="120" w:after="0"/>
              <w:jc w:val="center"/>
              <w:rPr>
                <w:rFonts w:ascii="Times New Roman" w:hAnsi="Times New Roman" w:cs="Times New Roman"/>
                <w:b/>
                <w:color w:themeColor="text1" w:val="000000"/>
                <w:sz w:val="26"/>
                <w:szCs w:val="26"/>
                <w:lang w:val="en-US"/>
              </w:rPr>
            </w:pPr>
            <w:r>
              <w:rPr>
                <w:rFonts w:cs="Times New Roman" w:ascii="Times New Roman" w:hAnsi="Times New Roman"/>
                <w:b/>
                <w:color w:themeColor="text1" w:val="000000"/>
                <w:sz w:val="26"/>
                <w:szCs w:val="26"/>
                <w:lang w:val="en-US"/>
              </w:rPr>
            </w:r>
          </w:p>
        </w:tc>
        <w:tc>
          <w:tcPr>
            <w:tcW w:w="5643" w:type="dxa"/>
            <w:tcBorders/>
          </w:tcPr>
          <w:p>
            <w:pPr>
              <w:pStyle w:val="Normal"/>
              <w:spacing w:before="120" w:after="0"/>
              <w:jc w:val="end"/>
              <w:rPr>
                <w:rFonts w:ascii="Times New Roman" w:hAnsi="Times New Roman" w:cs="Times New Roman"/>
                <w:i/>
                <w:color w:themeColor="text1" w:val="000000"/>
                <w:sz w:val="26"/>
                <w:szCs w:val="26"/>
              </w:rPr>
            </w:pPr>
            <w:r>
              <w:rPr>
                <w:rFonts w:cs="Times New Roman" w:ascii="Times New Roman" w:hAnsi="Times New Roman"/>
                <w:i/>
                <w:color w:themeColor="text1" w:val="000000"/>
                <w:sz w:val="26"/>
                <w:szCs w:val="26"/>
              </w:rPr>
            </w:r>
          </w:p>
        </w:tc>
      </w:tr>
    </w:tbl>
    <w:p>
      <w:pPr>
        <w:pStyle w:val="Normal"/>
        <w:spacing w:before="120" w:after="120"/>
        <w:jc w:val="center"/>
        <w:rPr>
          <w:rFonts w:ascii="Times New Roman" w:hAnsi="Times New Roman" w:cs="Times New Roman"/>
          <w:b/>
          <w:color w:themeColor="text1" w:val="000000"/>
          <w:sz w:val="28"/>
          <w:szCs w:val="28"/>
        </w:rPr>
      </w:pPr>
      <w:r>
        <mc:AlternateContent>
          <mc:Choice Requires="wps">
            <w:drawing>
              <wp:anchor distT="0" distB="0" distL="0" distR="0" simplePos="0" relativeHeight="4" behindDoc="0" locked="0" layoutInCell="1" allowOverlap="1" wp14:anchorId="5094F29D">
                <wp:simplePos x="0" y="0"/>
                <wp:positionH relativeFrom="column">
                  <wp:posOffset>508635</wp:posOffset>
                </wp:positionH>
                <wp:positionV relativeFrom="paragraph">
                  <wp:posOffset>-394970</wp:posOffset>
                </wp:positionV>
                <wp:extent cx="1295400" cy="495300"/>
                <wp:effectExtent l="6350" t="6350" r="6350" b="6350"/>
                <wp:wrapNone/>
                <wp:docPr id="3" name="Rectangle 3"/>
                <a:graphic xmlns:a="http://schemas.openxmlformats.org/drawingml/2006/main">
                  <a:graphicData uri="http://schemas.microsoft.com/office/word/2010/wordprocessingShape">
                    <wps:wsp>
                      <wps:cNvSpPr/>
                      <wps:spPr>
                        <a:xfrm>
                          <a:off x="0" y="0"/>
                          <a:ext cx="1295280" cy="495360"/>
                        </a:xfrm>
                        <a:prstGeom prst="rect">
                          <a:avLst/>
                        </a:prstGeom>
                        <a:solidFill>
                          <a:srgbClr val="DDDDDD"/>
                        </a:solidFill>
                        <a:ln w="12700">
                          <a:solidFill>
                            <a:srgbClr val="777777"/>
                          </a:solidFill>
                          <a:miter/>
                        </a:ln>
                      </wps:spPr>
                      <wps:style>
                        <a:lnRef idx="0"/>
                        <a:fillRef idx="0"/>
                        <a:effectRef idx="0"/>
                        <a:fontRef idx="minor"/>
                      </wps:style>
                      <wps:txbx>
                        <w:txbxContent>
                          <w:p>
                            <w:pPr>
                              <w:pStyle w:val="FrameContents"/>
                              <w:jc w:val="center"/>
                              <w:rPr>
                                <w:rFonts w:ascii="Times New Roman" w:hAnsi="Times New Roman" w:cs="Times New Roman"/>
                                <w:sz w:val="26"/>
                                <w:szCs w:val="26"/>
                                <w:lang w:val="en-US"/>
                              </w:rPr>
                            </w:pPr>
                            <w:r>
                              <w:rPr>
                                <w:rFonts w:cs="Times New Roman" w:ascii="Times New Roman" w:hAnsi="Times New Roman"/>
                                <w:sz w:val="26"/>
                                <w:szCs w:val="26"/>
                                <w:lang w:val="en-US"/>
                              </w:rPr>
                              <w:t>Dự thảo</w:t>
                              <w:br/>
                              <w:t>trình Quốc hội</w:t>
                            </w:r>
                          </w:p>
                        </w:txbxContent>
                      </wps:txbx>
                      <wps:bodyPr anchor="ctr">
                        <a:noAutofit/>
                      </wps:bodyPr>
                    </wps:wsp>
                  </a:graphicData>
                </a:graphic>
              </wp:anchor>
            </w:drawing>
          </mc:Choice>
          <mc:Fallback>
            <w:pict>
              <v:rect id="shape_0" fillcolor="#dddddd" stroked="t" o:allowincell="f" style="position:absolute;margin-left:40.05pt;margin-top:-31.1pt;width:101.95pt;height:38.95pt;mso-wrap-style:square;v-text-anchor:middle" wp14:anchorId="5094F29D">
                <v:fill o:detectmouseclick="t" type="solid" color2="#222222"/>
                <v:stroke color="#777777" weight="12600" joinstyle="miter" endcap="flat"/>
                <v:textbox>
                  <w:txbxContent>
                    <w:p>
                      <w:pPr>
                        <w:pStyle w:val="FrameContents"/>
                        <w:jc w:val="center"/>
                        <w:rPr>
                          <w:rFonts w:ascii="Times New Roman" w:hAnsi="Times New Roman" w:cs="Times New Roman"/>
                          <w:sz w:val="26"/>
                          <w:szCs w:val="26"/>
                          <w:lang w:val="en-US"/>
                        </w:rPr>
                      </w:pPr>
                      <w:r>
                        <w:rPr>
                          <w:rFonts w:cs="Times New Roman" w:ascii="Times New Roman" w:hAnsi="Times New Roman"/>
                          <w:sz w:val="26"/>
                          <w:szCs w:val="26"/>
                          <w:lang w:val="en-US"/>
                        </w:rPr>
                        <w:t>Dự thảo</w:t>
                        <w:br/>
                        <w:t>trình Quốc hội</w:t>
                      </w:r>
                    </w:p>
                  </w:txbxContent>
                </v:textbox>
                <w10:wrap type="none"/>
              </v:rect>
            </w:pict>
          </mc:Fallback>
        </mc:AlternateContent>
      </w:r>
      <w:r>
        <w:rPr>
          <w:rFonts w:cs="Times New Roman" w:ascii="Times New Roman" w:hAnsi="Times New Roman"/>
          <w:b/>
          <w:bCs/>
          <w:color w:themeColor="text1" w:val="000000"/>
          <w:sz w:val="28"/>
          <w:szCs w:val="28"/>
          <w:lang w:val="en-US"/>
        </w:rPr>
        <w:t>LUẬT</w:t>
      </w:r>
    </w:p>
    <w:p>
      <w:pPr>
        <w:pStyle w:val="Normal"/>
        <w:spacing w:before="120" w:after="120"/>
        <w:jc w:val="center"/>
        <w:rPr>
          <w:rFonts w:ascii="Times New Roman" w:hAnsi="Times New Roman" w:cs="Times New Roman"/>
          <w:color w:themeColor="text1" w:val="000000"/>
          <w:sz w:val="28"/>
          <w:szCs w:val="28"/>
          <w:lang w:val="en-US"/>
        </w:rPr>
      </w:pPr>
      <w:r>
        <w:rPr>
          <w:rFonts w:cs="Times New Roman" w:ascii="Times New Roman" w:hAnsi="Times New Roman"/>
          <w:b/>
          <w:bCs/>
          <w:color w:themeColor="text1" w:val="000000"/>
          <w:sz w:val="28"/>
          <w:szCs w:val="28"/>
          <w:lang w:val="en-US"/>
        </w:rPr>
        <w:t>SỬA ĐỔI, BỔ SUNG MỘT SỐ ĐIỀU CỦA LUẬT CHỨNG KHOÁN</w:t>
      </w:r>
    </w:p>
    <w:p>
      <w:pPr>
        <w:pStyle w:val="Normal"/>
        <w:spacing w:before="120" w:after="120"/>
        <w:ind w:firstLine="720"/>
        <w:jc w:val="both"/>
        <w:rPr>
          <w:rFonts w:ascii="Times New Roman" w:hAnsi="Times New Roman" w:cs="Times New Roman"/>
          <w:i/>
          <w:iCs/>
          <w:color w:themeColor="text1" w:val="000000"/>
          <w:sz w:val="28"/>
          <w:szCs w:val="28"/>
        </w:rPr>
      </w:pPr>
      <w:r>
        <w:rPr>
          <w:rFonts w:cs="Times New Roman" w:ascii="Times New Roman" w:hAnsi="Times New Roman"/>
          <w:i/>
          <w:iCs/>
          <w:color w:themeColor="text1" w:val="000000"/>
          <w:sz w:val="28"/>
          <w:szCs w:val="28"/>
          <w:lang w:val="en-US"/>
        </w:rPr>
        <w:t>Căn c</w:t>
      </w:r>
      <w:r>
        <w:rPr>
          <w:rFonts w:cs="Times New Roman" w:ascii="Times New Roman" w:hAnsi="Times New Roman"/>
          <w:i/>
          <w:iCs/>
          <w:color w:themeColor="text1" w:val="000000"/>
          <w:sz w:val="28"/>
          <w:szCs w:val="28"/>
        </w:rPr>
        <w:t>ứ Hiến ph</w:t>
      </w:r>
      <w:r>
        <w:rPr>
          <w:rFonts w:cs="Times New Roman" w:ascii="Times New Roman" w:hAnsi="Times New Roman"/>
          <w:i/>
          <w:iCs/>
          <w:color w:themeColor="text1" w:val="000000"/>
          <w:sz w:val="28"/>
          <w:szCs w:val="28"/>
          <w:lang w:val="en-US"/>
        </w:rPr>
        <w:t>áp nư</w:t>
      </w:r>
      <w:r>
        <w:rPr>
          <w:rFonts w:cs="Times New Roman" w:ascii="Times New Roman" w:hAnsi="Times New Roman"/>
          <w:i/>
          <w:iCs/>
          <w:color w:themeColor="text1" w:val="000000"/>
          <w:sz w:val="28"/>
          <w:szCs w:val="28"/>
        </w:rPr>
        <w:t>ớc Cộng h</w:t>
      </w:r>
      <w:r>
        <w:rPr>
          <w:rFonts w:cs="Times New Roman" w:ascii="Times New Roman" w:hAnsi="Times New Roman"/>
          <w:i/>
          <w:iCs/>
          <w:color w:themeColor="text1" w:val="000000"/>
          <w:sz w:val="28"/>
          <w:szCs w:val="28"/>
          <w:lang w:val="en-US"/>
        </w:rPr>
        <w:t>òa xã h</w:t>
      </w:r>
      <w:r>
        <w:rPr>
          <w:rFonts w:cs="Times New Roman" w:ascii="Times New Roman" w:hAnsi="Times New Roman"/>
          <w:i/>
          <w:iCs/>
          <w:color w:themeColor="text1" w:val="000000"/>
          <w:sz w:val="28"/>
          <w:szCs w:val="28"/>
        </w:rPr>
        <w:t>ội chủ nghĩa Việt Nam đ</w:t>
      </w:r>
      <w:r>
        <w:rPr>
          <w:rFonts w:cs="Times New Roman" w:ascii="Times New Roman" w:hAnsi="Times New Roman"/>
          <w:i/>
          <w:iCs/>
          <w:color w:themeColor="text1" w:val="000000"/>
          <w:sz w:val="28"/>
          <w:szCs w:val="28"/>
          <w:lang w:val="en-US"/>
        </w:rPr>
        <w:t>ã đư</w:t>
      </w:r>
      <w:r>
        <w:rPr>
          <w:rFonts w:cs="Times New Roman" w:ascii="Times New Roman" w:hAnsi="Times New Roman"/>
          <w:i/>
          <w:iCs/>
          <w:color w:themeColor="text1" w:val="000000"/>
          <w:sz w:val="28"/>
          <w:szCs w:val="28"/>
        </w:rPr>
        <w:t>ợc sửa đổi, bổ sung một số điều theo Nghị quyết số 203/2025/QH15;</w:t>
      </w:r>
    </w:p>
    <w:p>
      <w:pPr>
        <w:pStyle w:val="Normal"/>
        <w:spacing w:before="120" w:after="120"/>
        <w:ind w:firstLine="720"/>
        <w:jc w:val="both"/>
        <w:rPr>
          <w:rFonts w:ascii="Times New Roman" w:hAnsi="Times New Roman" w:cs="Times New Roman"/>
          <w:i/>
          <w:color w:themeColor="text1" w:val="000000"/>
          <w:sz w:val="28"/>
          <w:szCs w:val="28"/>
          <w:lang w:val="en-US"/>
        </w:rPr>
      </w:pPr>
      <w:r>
        <w:rPr>
          <w:rFonts w:cs="Times New Roman" w:ascii="Times New Roman" w:hAnsi="Times New Roman"/>
          <w:i/>
          <w:iCs/>
          <w:color w:themeColor="text1" w:val="000000"/>
          <w:sz w:val="28"/>
          <w:szCs w:val="28"/>
          <w:lang w:val="en-US"/>
        </w:rPr>
        <w:t>Qu</w:t>
      </w:r>
      <w:r>
        <w:rPr>
          <w:rFonts w:cs="Times New Roman" w:ascii="Times New Roman" w:hAnsi="Times New Roman"/>
          <w:i/>
          <w:iCs/>
          <w:color w:themeColor="text1" w:val="000000"/>
          <w:sz w:val="28"/>
          <w:szCs w:val="28"/>
        </w:rPr>
        <w:t>ốc hội ban h</w:t>
      </w:r>
      <w:r>
        <w:rPr>
          <w:rFonts w:cs="Times New Roman" w:ascii="Times New Roman" w:hAnsi="Times New Roman"/>
          <w:i/>
          <w:iCs/>
          <w:color w:themeColor="text1" w:val="000000"/>
          <w:sz w:val="28"/>
          <w:szCs w:val="28"/>
          <w:lang w:val="en-US"/>
        </w:rPr>
        <w:t>ành Lu</w:t>
      </w:r>
      <w:r>
        <w:rPr>
          <w:rFonts w:cs="Times New Roman" w:ascii="Times New Roman" w:hAnsi="Times New Roman"/>
          <w:i/>
          <w:iCs/>
          <w:color w:themeColor="text1" w:val="000000"/>
          <w:sz w:val="28"/>
          <w:szCs w:val="28"/>
        </w:rPr>
        <w:t>ật sửa đổi, bổ sung một số điều của Luật</w:t>
      </w:r>
      <w:r>
        <w:rPr>
          <w:rFonts w:cs="Times New Roman" w:ascii="Times New Roman" w:hAnsi="Times New Roman"/>
          <w:i/>
          <w:iCs/>
          <w:color w:themeColor="text1" w:val="000000"/>
          <w:sz w:val="28"/>
          <w:szCs w:val="28"/>
          <w:lang w:val="en-US"/>
        </w:rPr>
        <w:t xml:space="preserve"> Chứng khoán số 5</w:t>
      </w:r>
      <w:r>
        <w:rPr>
          <w:rFonts w:cs="Times New Roman" w:ascii="Times New Roman" w:hAnsi="Times New Roman"/>
          <w:i/>
          <w:iCs/>
          <w:color w:themeColor="text1" w:val="000000"/>
          <w:sz w:val="28"/>
          <w:szCs w:val="28"/>
        </w:rPr>
        <w:t>4</w:t>
      </w:r>
      <w:r>
        <w:rPr>
          <w:rFonts w:cs="Times New Roman" w:ascii="Times New Roman" w:hAnsi="Times New Roman"/>
          <w:i/>
          <w:iCs/>
          <w:color w:themeColor="text1" w:val="000000"/>
          <w:sz w:val="28"/>
          <w:szCs w:val="28"/>
          <w:lang w:val="en-US"/>
        </w:rPr>
        <w:t>/2019/QH14</w:t>
      </w:r>
      <w:r>
        <w:rPr>
          <w:color w:themeColor="text1" w:val="000000"/>
        </w:rPr>
        <w:t xml:space="preserve"> </w:t>
      </w:r>
      <w:r>
        <w:rPr>
          <w:rFonts w:cs="Times New Roman" w:ascii="Times New Roman" w:hAnsi="Times New Roman"/>
          <w:i/>
          <w:iCs/>
          <w:color w:themeColor="text1" w:val="000000"/>
          <w:sz w:val="28"/>
          <w:szCs w:val="28"/>
        </w:rPr>
        <w:t>đã được sửa đổi, bổ sung một số điều theo Luật số 56/2024/QH15.</w:t>
      </w:r>
    </w:p>
    <w:p>
      <w:pPr>
        <w:pStyle w:val="Normal"/>
        <w:spacing w:before="120" w:after="120"/>
        <w:ind w:firstLine="567"/>
        <w:jc w:val="both"/>
        <w:rPr>
          <w:rFonts w:ascii="Times New Roman" w:hAnsi="Times New Roman" w:cs="Times New Roman"/>
          <w:color w:themeColor="text1" w:val="000000"/>
          <w:sz w:val="28"/>
          <w:szCs w:val="28"/>
          <w:lang w:val="en-US"/>
        </w:rPr>
      </w:pPr>
      <w:r>
        <w:rPr>
          <w:rFonts w:cs="Times New Roman" w:ascii="Times New Roman" w:hAnsi="Times New Roman"/>
          <w:b/>
          <w:bCs/>
          <w:color w:themeColor="text1" w:val="000000"/>
          <w:sz w:val="28"/>
          <w:szCs w:val="28"/>
          <w:lang w:val="en-US"/>
        </w:rPr>
        <w:t>Điều</w:t>
      </w:r>
      <w:r>
        <w:rPr>
          <w:rFonts w:cs="Times New Roman" w:ascii="Times New Roman" w:hAnsi="Times New Roman"/>
          <w:b/>
          <w:bCs/>
          <w:color w:themeColor="text1" w:val="000000"/>
          <w:sz w:val="28"/>
          <w:szCs w:val="28"/>
        </w:rPr>
        <w:t xml:space="preserve"> 1. Sửa đổi, bổ sung một số điều của Luật</w:t>
      </w:r>
      <w:r>
        <w:rPr>
          <w:rFonts w:cs="Times New Roman" w:ascii="Times New Roman" w:hAnsi="Times New Roman"/>
          <w:b/>
          <w:bCs/>
          <w:color w:themeColor="text1" w:val="000000"/>
          <w:sz w:val="28"/>
          <w:szCs w:val="28"/>
          <w:lang w:val="en-US"/>
        </w:rPr>
        <w:t xml:space="preserve"> Chứng khoán</w:t>
      </w:r>
    </w:p>
    <w:p>
      <w:pPr>
        <w:pStyle w:val="ListParagraph"/>
        <w:numPr>
          <w:ilvl w:val="0"/>
          <w:numId w:val="1"/>
        </w:numPr>
        <w:spacing w:before="120" w:after="120"/>
        <w:ind w:hanging="284" w:start="851"/>
        <w:contextualSpacing/>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lang w:val="en-US"/>
        </w:rPr>
        <w:t>S</w:t>
      </w:r>
      <w:r>
        <w:rPr>
          <w:rFonts w:cs="Times New Roman" w:ascii="Times New Roman" w:hAnsi="Times New Roman"/>
          <w:color w:themeColor="text1" w:val="000000"/>
          <w:sz w:val="28"/>
          <w:szCs w:val="28"/>
        </w:rPr>
        <w:t>ửa đổi, bổ sung</w:t>
      </w:r>
      <w:r>
        <w:rPr>
          <w:rFonts w:cs="Times New Roman" w:ascii="Times New Roman" w:hAnsi="Times New Roman"/>
          <w:color w:themeColor="text1" w:val="000000"/>
          <w:sz w:val="28"/>
          <w:szCs w:val="28"/>
          <w:lang w:val="en-US"/>
        </w:rPr>
        <w:t xml:space="preserve"> một số k</w:t>
      </w:r>
      <w:r>
        <w:rPr>
          <w:rFonts w:cs="Times New Roman" w:ascii="Times New Roman" w:hAnsi="Times New Roman"/>
          <w:color w:themeColor="text1" w:val="000000"/>
          <w:sz w:val="28"/>
          <w:szCs w:val="28"/>
        </w:rPr>
        <w:t>hoản</w:t>
      </w:r>
      <w:r>
        <w:rPr>
          <w:rFonts w:cs="Times New Roman" w:ascii="Times New Roman" w:hAnsi="Times New Roman"/>
          <w:color w:themeColor="text1" w:val="000000"/>
          <w:sz w:val="28"/>
          <w:szCs w:val="28"/>
          <w:lang w:val="en-US"/>
        </w:rPr>
        <w:t xml:space="preserve"> của </w:t>
      </w:r>
      <w:r>
        <w:rPr>
          <w:rFonts w:cs="Times New Roman" w:ascii="Times New Roman" w:hAnsi="Times New Roman"/>
          <w:color w:themeColor="text1" w:val="000000"/>
          <w:sz w:val="28"/>
          <w:szCs w:val="28"/>
        </w:rPr>
        <w:t>Điều</w:t>
      </w:r>
      <w:r>
        <w:rPr>
          <w:rFonts w:cs="Times New Roman" w:ascii="Times New Roman" w:hAnsi="Times New Roman"/>
          <w:color w:themeColor="text1" w:val="000000"/>
          <w:sz w:val="28"/>
          <w:szCs w:val="28"/>
          <w:lang w:val="en-US"/>
        </w:rPr>
        <w:t xml:space="preserve"> 4 </w:t>
      </w:r>
      <w:r>
        <w:rPr>
          <w:rFonts w:cs="Times New Roman" w:ascii="Times New Roman" w:hAnsi="Times New Roman"/>
          <w:color w:themeColor="text1" w:val="000000"/>
          <w:sz w:val="28"/>
          <w:szCs w:val="28"/>
        </w:rPr>
        <w:t>như sau:</w:t>
      </w:r>
    </w:p>
    <w:p>
      <w:pPr>
        <w:pStyle w:val="Normal"/>
        <w:spacing w:before="120" w:after="120"/>
        <w:ind w:firstLine="567"/>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a) Sửa đổi, bổ sung khoản 26 như sau:</w:t>
      </w:r>
    </w:p>
    <w:p>
      <w:pPr>
        <w:pStyle w:val="Normal"/>
        <w:spacing w:before="120" w:after="120"/>
        <w:ind w:firstLine="567"/>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w:t>
      </w:r>
      <w:r>
        <w:rPr>
          <w:rFonts w:cs="Times New Roman" w:ascii="Times New Roman" w:hAnsi="Times New Roman"/>
          <w:color w:themeColor="text1" w:val="000000"/>
          <w:sz w:val="28"/>
          <w:szCs w:val="28"/>
          <w:lang w:val="en-US"/>
        </w:rPr>
        <w:t xml:space="preserve">26. </w:t>
      </w:r>
      <w:r>
        <w:rPr>
          <w:rFonts w:cs="Times New Roman" w:ascii="Times New Roman" w:hAnsi="Times New Roman"/>
          <w:i/>
          <w:color w:themeColor="text1" w:val="000000"/>
          <w:sz w:val="28"/>
          <w:szCs w:val="28"/>
          <w:lang w:val="en-US"/>
        </w:rPr>
        <w:t>Hệ thống giao dịch chứng khoán</w:t>
      </w:r>
      <w:r>
        <w:rPr>
          <w:rFonts w:cs="Times New Roman" w:ascii="Times New Roman" w:hAnsi="Times New Roman"/>
          <w:color w:themeColor="text1" w:val="000000"/>
          <w:sz w:val="28"/>
          <w:szCs w:val="28"/>
          <w:lang w:val="en-US"/>
        </w:rPr>
        <w:t xml:space="preserve"> bao gồm hệ thống giao dịch cho chứng khoán niêm yết và hệ thống giao dịch cho chứng khoán chưa niêm yết do các Sở giao dịch chứng khoán tổ chức, vận hành.”</w:t>
      </w:r>
    </w:p>
    <w:p>
      <w:pPr>
        <w:pStyle w:val="Normal"/>
        <w:spacing w:before="120" w:after="120"/>
        <w:ind w:firstLine="567"/>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b) Sửa đổi, bổ sung khoản 42 như sau:</w:t>
      </w:r>
    </w:p>
    <w:p>
      <w:pPr>
        <w:pStyle w:val="Normal"/>
        <w:spacing w:before="120" w:after="120"/>
        <w:ind w:firstLine="567"/>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w:t>
      </w:r>
      <w:r>
        <w:rPr>
          <w:rFonts w:cs="Times New Roman" w:ascii="Times New Roman" w:hAnsi="Times New Roman"/>
          <w:color w:themeColor="text1" w:val="000000"/>
          <w:sz w:val="28"/>
          <w:szCs w:val="28"/>
          <w:lang w:val="en-US"/>
        </w:rPr>
        <w:t xml:space="preserve">42. </w:t>
      </w:r>
      <w:r>
        <w:rPr>
          <w:rFonts w:cs="Times New Roman" w:ascii="Times New Roman" w:hAnsi="Times New Roman"/>
          <w:i/>
          <w:color w:themeColor="text1" w:val="000000"/>
          <w:sz w:val="28"/>
          <w:szCs w:val="28"/>
          <w:lang w:val="en-US"/>
        </w:rPr>
        <w:t>Quỹ hoán đổi danh mục</w:t>
      </w:r>
      <w:r>
        <w:rPr>
          <w:rFonts w:cs="Times New Roman" w:ascii="Times New Roman" w:hAnsi="Times New Roman"/>
          <w:color w:themeColor="text1" w:val="000000"/>
          <w:sz w:val="28"/>
          <w:szCs w:val="28"/>
          <w:lang w:val="en-US"/>
        </w:rPr>
        <w:t xml:space="preserve"> là quỹ mở hình thành từ việc tiếp nhận, hoán đổi danh mục chứng khoán cơ cấu hoặc tài sản khác theo quy định của Chính phủ lấy chứng chỉ quỹ. Chứng chỉ quỹ hoán đổi danh mục được niêm yết và giao dịch trên hệ thống giao dịch cho chứng khoán niêm yết.”</w:t>
      </w:r>
    </w:p>
    <w:p>
      <w:pPr>
        <w:pStyle w:val="Normal"/>
        <w:spacing w:before="120" w:after="120"/>
        <w:ind w:firstLine="567"/>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c) Bổ sung khoản 47a sau khoản 47 như sau:</w:t>
      </w:r>
    </w:p>
    <w:p>
      <w:pPr>
        <w:pStyle w:val="Normal"/>
        <w:spacing w:before="120" w:after="120"/>
        <w:ind w:firstLine="567"/>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w:t>
      </w:r>
      <w:bookmarkStart w:id="1" w:name="_Hlk229777213"/>
      <w:r>
        <w:rPr>
          <w:rFonts w:cs="Times New Roman" w:ascii="Times New Roman" w:hAnsi="Times New Roman"/>
          <w:color w:themeColor="text1" w:val="000000"/>
          <w:sz w:val="28"/>
          <w:szCs w:val="28"/>
          <w:lang w:val="en-US"/>
        </w:rPr>
        <w:t xml:space="preserve">47a. </w:t>
      </w:r>
      <w:r>
        <w:rPr>
          <w:rFonts w:cs="Times New Roman" w:ascii="Times New Roman" w:hAnsi="Times New Roman"/>
          <w:i/>
          <w:color w:themeColor="text1" w:val="000000"/>
          <w:sz w:val="28"/>
          <w:szCs w:val="28"/>
          <w:lang w:val="en-US"/>
        </w:rPr>
        <w:t>Tổ chức sử dụng người được cấp chứng chỉ hành nghề chứng khoán</w:t>
      </w:r>
      <w:r>
        <w:rPr>
          <w:rFonts w:cs="Times New Roman" w:ascii="Times New Roman" w:hAnsi="Times New Roman"/>
          <w:color w:themeColor="text1" w:val="000000"/>
          <w:sz w:val="28"/>
          <w:szCs w:val="28"/>
          <w:lang w:val="en-US"/>
        </w:rPr>
        <w:t xml:space="preserve"> là các tổ chức gồm công ty chứng khoán, công ty quản lý quỹ đầu tư chứng khoán, chi nhánh công ty chứng khoán và công ty quản lý quỹ nước ngoài tại Việt Nam, công ty đầu tư chứng khoán, tổ chức khác </w:t>
      </w:r>
      <w:r>
        <w:rPr>
          <w:rFonts w:cs="Times New Roman" w:ascii="Times New Roman" w:hAnsi="Times New Roman"/>
          <w:bCs/>
          <w:color w:themeColor="text1" w:val="000000"/>
          <w:sz w:val="28"/>
          <w:szCs w:val="28"/>
          <w:lang w:val="en-US"/>
        </w:rPr>
        <w:t>mà</w:t>
      </w:r>
      <w:r>
        <w:rPr>
          <w:rFonts w:cs="Times New Roman" w:ascii="Times New Roman" w:hAnsi="Times New Roman"/>
          <w:color w:themeColor="text1" w:val="000000"/>
          <w:sz w:val="28"/>
          <w:szCs w:val="28"/>
          <w:lang w:val="en-US"/>
        </w:rPr>
        <w:t xml:space="preserve"> vị trí việc làm theo quy định của pháp luật yêu cầu phải có chứng chỉ hành nghề chứng khoán</w:t>
      </w:r>
      <w:bookmarkEnd w:id="1"/>
      <w:r>
        <w:rPr>
          <w:rFonts w:cs="Times New Roman" w:ascii="Times New Roman" w:hAnsi="Times New Roman"/>
          <w:color w:themeColor="text1" w:val="000000"/>
          <w:sz w:val="28"/>
          <w:szCs w:val="28"/>
          <w:lang w:val="en-US"/>
        </w:rPr>
        <w:t>.”</w:t>
      </w:r>
    </w:p>
    <w:p>
      <w:pPr>
        <w:pStyle w:val="ListParagraph"/>
        <w:numPr>
          <w:ilvl w:val="0"/>
          <w:numId w:val="1"/>
        </w:numPr>
        <w:spacing w:before="120" w:after="120"/>
        <w:ind w:hanging="284" w:start="851"/>
        <w:contextualSpacing/>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Sửa đổi, bổ sung khoản 3 Điều 6 như sau:</w:t>
      </w:r>
    </w:p>
    <w:p>
      <w:pPr>
        <w:pStyle w:val="Normal"/>
        <w:spacing w:before="120" w:after="120"/>
        <w:ind w:firstLine="567"/>
        <w:jc w:val="both"/>
        <w:rPr>
          <w:rFonts w:ascii="Times New Roman" w:hAnsi="Times New Roman" w:cs="Times New Roman"/>
          <w:color w:themeColor="text1" w:val="000000"/>
          <w:sz w:val="28"/>
          <w:szCs w:val="28"/>
          <w:lang w:val="en-US"/>
        </w:rPr>
      </w:pPr>
      <w:bookmarkStart w:id="2" w:name="_Hlk230184743"/>
      <w:r>
        <w:rPr>
          <w:rFonts w:cs="Times New Roman" w:ascii="Times New Roman" w:hAnsi="Times New Roman"/>
          <w:color w:themeColor="text1" w:val="000000"/>
          <w:sz w:val="28"/>
          <w:szCs w:val="28"/>
          <w:lang w:val="en-US"/>
        </w:rPr>
        <w:t>“</w:t>
      </w:r>
      <w:r>
        <w:rPr>
          <w:rFonts w:cs="Times New Roman" w:ascii="Times New Roman" w:hAnsi="Times New Roman"/>
          <w:color w:themeColor="text1" w:val="000000"/>
          <w:sz w:val="28"/>
          <w:szCs w:val="28"/>
          <w:lang w:val="en-US"/>
        </w:rPr>
        <w:t>3. Nhà nước có chính sách đầu tư hiện đại hóa cơ sở hạ tầng, công nghệ thông tin cho hoạt động của thị trường chứng khoán; chính sách khuyến khích, đãi ngộ, phát triển và thu hút nguồn nhân lực cho ngành chứng khoán; tuyên truyền, phổ biến kiến thức về chứng khoán và thị trường chứng khoán.</w:t>
      </w:r>
      <w:bookmarkEnd w:id="2"/>
      <w:r>
        <w:rPr>
          <w:rFonts w:cs="Times New Roman" w:ascii="Times New Roman" w:hAnsi="Times New Roman"/>
          <w:color w:themeColor="text1" w:val="000000"/>
          <w:sz w:val="28"/>
          <w:szCs w:val="28"/>
          <w:lang w:val="en-US"/>
        </w:rPr>
        <w:t>”</w:t>
      </w:r>
    </w:p>
    <w:p>
      <w:pPr>
        <w:pStyle w:val="ListParagraph"/>
        <w:numPr>
          <w:ilvl w:val="0"/>
          <w:numId w:val="1"/>
        </w:numPr>
        <w:spacing w:before="120" w:after="120"/>
        <w:ind w:hanging="284" w:start="851"/>
        <w:contextualSpacing/>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Bổ sung Điều 6a vào sau Điều 6 như sau:</w:t>
      </w:r>
    </w:p>
    <w:p>
      <w:pPr>
        <w:pStyle w:val="Normal"/>
        <w:spacing w:before="120" w:after="120"/>
        <w:ind w:firstLine="567"/>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w:t>
      </w:r>
      <w:r>
        <w:rPr>
          <w:rFonts w:cs="Times New Roman" w:ascii="Times New Roman" w:hAnsi="Times New Roman"/>
          <w:b/>
          <w:bCs/>
          <w:color w:themeColor="text1" w:val="000000"/>
          <w:sz w:val="28"/>
          <w:szCs w:val="28"/>
          <w:lang w:val="en-US"/>
        </w:rPr>
        <w:t>Điều 6a. Cơ chế thử nghiệm có kiểm soát trong lĩnh vực chứng khoán</w:t>
      </w:r>
    </w:p>
    <w:p>
      <w:pPr>
        <w:pStyle w:val="Normal"/>
        <w:numPr>
          <w:ilvl w:val="0"/>
          <w:numId w:val="2"/>
        </w:numPr>
        <w:spacing w:before="120" w:after="120"/>
        <w:ind w:firstLine="567"/>
        <w:jc w:val="both"/>
        <w:rPr>
          <w:rFonts w:ascii="Times New Roman" w:hAnsi="Times New Roman" w:cs="Times New Roman"/>
          <w:color w:themeColor="text1" w:val="000000"/>
          <w:sz w:val="28"/>
          <w:szCs w:val="28"/>
          <w:lang w:val="en-US"/>
        </w:rPr>
      </w:pPr>
      <w:bookmarkStart w:id="3" w:name="_Hlk233313285"/>
      <w:r>
        <w:rPr>
          <w:rFonts w:cs="Times New Roman" w:ascii="Times New Roman" w:hAnsi="Times New Roman"/>
          <w:color w:themeColor="text1" w:val="000000"/>
          <w:sz w:val="28"/>
          <w:szCs w:val="28"/>
          <w:lang w:val="en-US"/>
        </w:rPr>
        <w:t xml:space="preserve">Cơ chế thử nghiệm có kiểm soát trong lĩnh vực chứng khoán là việc cơ quan nhà nước có thẩm quyền cho phép tổ chức triển khai thử nghiệm có giới hạn về phạm vi, đối tượng, không gian, thời gian thử nghiệm trong điều kiện thực tế đối với việc ứng dụng công nghệ mới, sản phẩm, dịch vụ, mô hình kinh doanh mới trong lĩnh vực chứng khoán mà pháp luật chưa có quy định hoặc khác với quy định của pháp luật hiện hành. </w:t>
      </w:r>
    </w:p>
    <w:p>
      <w:pPr>
        <w:pStyle w:val="Normal"/>
        <w:numPr>
          <w:ilvl w:val="0"/>
          <w:numId w:val="2"/>
        </w:numPr>
        <w:spacing w:before="120" w:after="120"/>
        <w:ind w:firstLine="567"/>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Việc triển khai cơ chế thử nghiệm có kiểm soát trong lĩnh vực chứng khoán phải đảm bảo quốc phòng, an ninh, an toàn thị trường chứng khoán và thực hiện theo quy định của pháp luật về khoa học, công nghệ và đổi mới sáng tạo và pháp luật về công nghiệp công nghệ số.</w:t>
      </w:r>
    </w:p>
    <w:p>
      <w:pPr>
        <w:pStyle w:val="Normal"/>
        <w:numPr>
          <w:ilvl w:val="0"/>
          <w:numId w:val="2"/>
        </w:numPr>
        <w:spacing w:before="120" w:after="120"/>
        <w:ind w:firstLine="567"/>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 xml:space="preserve">Tổ chức đăng ký cơ chế thử nghiệm phải đáp ứng điều kiện, tiêu chí xét duyệt tham gia, được cấp giấy chứng nhận và chịu sự giám sát của cơ quan nhà nước có thẩm quyền theo quy định pháp luật. Cơ quan quản lý nhà nước có thẩm quyền quyết định việc cấp, điều chỉnh, thu hồi giấy chứng nhận; gia hạn, tạm dừng, chấm dứt, kết thúc cơ chế thử nghiệm có kiểm soát trong lĩnh vực chứng khoán, cho phép ứng dụng đưa vào thực tiễn. </w:t>
      </w:r>
    </w:p>
    <w:p>
      <w:pPr>
        <w:pStyle w:val="Normal"/>
        <w:numPr>
          <w:ilvl w:val="0"/>
          <w:numId w:val="2"/>
        </w:numPr>
        <w:spacing w:before="120" w:after="120"/>
        <w:ind w:firstLine="567"/>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 xml:space="preserve">Cơ quan có thẩm quyền cho phép thử nghiệm có kiểm soát; tổ chức, cá nhân trực tiếp, tham gia thẩm định, cấp giấy chứng nhận, giám sát, đánh giá thử nghiệm có kiểm soát; tổ chức đăng ký thử nghiệm có kiểm soát; cá nhân thực hiện thử nghiệm có kiểm soát được miễn, loại trừ các trách nhiệm và có quyền, nghĩa vụ theo quy định của pháp luật về khoa học, công nghệ và đổi mới sáng tạo, pháp luật về công nghiệp công nghệ số. </w:t>
      </w:r>
    </w:p>
    <w:p>
      <w:pPr>
        <w:pStyle w:val="Normal"/>
        <w:numPr>
          <w:ilvl w:val="0"/>
          <w:numId w:val="2"/>
        </w:numPr>
        <w:spacing w:before="120" w:after="120"/>
        <w:ind w:firstLine="567"/>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 xml:space="preserve">Tổ chức, cá nhân tham gia cơ chế thử nghiệm tự chịu trách nhiệm về việc tham gia thử nghiệm, được bảo vệ theo quy định tại Luật Khoa học, công nghệ và đổi mới sáng tạo. </w:t>
      </w:r>
    </w:p>
    <w:p>
      <w:pPr>
        <w:pStyle w:val="Normal"/>
        <w:numPr>
          <w:ilvl w:val="0"/>
          <w:numId w:val="2"/>
        </w:numPr>
        <w:spacing w:before="120" w:after="120"/>
        <w:ind w:firstLine="567"/>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Chính phủ quy định chi tiết Điều này</w:t>
      </w:r>
      <w:bookmarkEnd w:id="3"/>
      <w:r>
        <w:rPr>
          <w:rFonts w:cs="Times New Roman" w:ascii="Times New Roman" w:hAnsi="Times New Roman"/>
          <w:color w:themeColor="text1" w:val="000000"/>
          <w:sz w:val="28"/>
          <w:szCs w:val="28"/>
          <w:lang w:val="en-US"/>
        </w:rPr>
        <w:t>.”</w:t>
      </w:r>
    </w:p>
    <w:p>
      <w:pPr>
        <w:pStyle w:val="ListParagraph"/>
        <w:numPr>
          <w:ilvl w:val="0"/>
          <w:numId w:val="1"/>
        </w:numPr>
        <w:spacing w:before="120" w:after="120"/>
        <w:ind w:hanging="284" w:start="851"/>
        <w:contextualSpacing/>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Sửa đổi, bổ sung một số điểm của Điều 18 như sau:</w:t>
      </w:r>
    </w:p>
    <w:p>
      <w:pPr>
        <w:pStyle w:val="Normal"/>
        <w:spacing w:before="120" w:after="120"/>
        <w:ind w:firstLine="567"/>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a) Sửa đổi, bổ sung điểm đ khoản 1 như sau:</w:t>
      </w:r>
    </w:p>
    <w:p>
      <w:pPr>
        <w:pStyle w:val="Normal"/>
        <w:spacing w:before="120" w:after="120"/>
        <w:ind w:firstLine="567"/>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w:t>
      </w:r>
      <w:r>
        <w:rPr>
          <w:rFonts w:cs="Times New Roman" w:ascii="Times New Roman" w:hAnsi="Times New Roman"/>
          <w:color w:themeColor="text1" w:val="000000"/>
          <w:sz w:val="28"/>
          <w:szCs w:val="28"/>
          <w:lang w:val="en-US"/>
        </w:rPr>
        <w:t>đ) Văn bản cam kết đáp ứng quy định tại điểm e khoản 1 Điều 15 của Luật này;”</w:t>
      </w:r>
    </w:p>
    <w:p>
      <w:pPr>
        <w:pStyle w:val="Normal"/>
        <w:spacing w:before="120" w:after="120"/>
        <w:ind w:firstLine="567"/>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b) Sửa đổi, bổ sung điểm b khoản 4 như sau:</w:t>
      </w:r>
    </w:p>
    <w:p>
      <w:pPr>
        <w:pStyle w:val="Normal"/>
        <w:spacing w:before="120" w:after="120"/>
        <w:ind w:firstLine="567"/>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w:t>
      </w:r>
      <w:r>
        <w:rPr>
          <w:rFonts w:cs="Times New Roman" w:ascii="Times New Roman" w:hAnsi="Times New Roman"/>
          <w:color w:themeColor="text1" w:val="000000"/>
          <w:sz w:val="28"/>
          <w:szCs w:val="28"/>
          <w:lang w:val="en-US"/>
        </w:rPr>
        <w:t>b) Tài liệu quy định tại các điểm b, c, g và h khoản 1 Điều này và văn bản cam kết đáp ứng quy định tại điểm e khoản 1 Điều 15 của Luật này;”</w:t>
      </w:r>
    </w:p>
    <w:p>
      <w:pPr>
        <w:pStyle w:val="ListParagraph"/>
        <w:numPr>
          <w:ilvl w:val="0"/>
          <w:numId w:val="1"/>
        </w:numPr>
        <w:spacing w:before="120" w:after="120"/>
        <w:ind w:hanging="284" w:start="851"/>
        <w:contextualSpacing/>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Sửa đổi, bổ sung khoản 3 Điều 20 như sau:</w:t>
      </w:r>
    </w:p>
    <w:p>
      <w:pPr>
        <w:pStyle w:val="Normal"/>
        <w:spacing w:before="120" w:after="120"/>
        <w:ind w:firstLine="567"/>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w:t>
      </w:r>
      <w:r>
        <w:rPr>
          <w:rFonts w:cs="Times New Roman" w:ascii="Times New Roman" w:hAnsi="Times New Roman"/>
          <w:color w:themeColor="text1" w:val="000000"/>
          <w:sz w:val="28"/>
          <w:szCs w:val="28"/>
          <w:lang w:val="en-US"/>
        </w:rPr>
        <w:t>3. Báo cáo tài chính năm phải được kiểm toán bởi tổ chức kiểm toán và kiểm toán viên hành nghề được chấp thuận thực hiện kiểm toán cho đơn vị có lợi ích công chúng thuộc lĩnh vực chứng khoán. Ý kiến kiểm toán đối với các báo cáo tài chính là ý kiến chấp nhận toàn phần; trường hợp ý kiến kiểm toán là ý kiến ngoại trừ thì khoản ngoại trừ không ảnh hưởng đến điều kiện chào bán; tổ chức phát hành phải có tài liệu giải thích hợp lý và có xác nhận của tổ chức kiểm toán về ảnh hưởng của việc ngoại trừ.”.</w:t>
      </w:r>
    </w:p>
    <w:p>
      <w:pPr>
        <w:pStyle w:val="ListParagraph"/>
        <w:numPr>
          <w:ilvl w:val="0"/>
          <w:numId w:val="1"/>
        </w:numPr>
        <w:spacing w:before="120" w:after="120"/>
        <w:ind w:hanging="284" w:start="851"/>
        <w:contextualSpacing/>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Sửa đổi, bổ sung khoản 3 Điều 25 như sau:</w:t>
      </w:r>
    </w:p>
    <w:p>
      <w:pPr>
        <w:pStyle w:val="Normal"/>
        <w:spacing w:before="120" w:after="120"/>
        <w:ind w:firstLine="567"/>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w:t>
      </w:r>
      <w:r>
        <w:rPr>
          <w:rFonts w:cs="Times New Roman" w:ascii="Times New Roman" w:hAnsi="Times New Roman"/>
          <w:color w:themeColor="text1" w:val="000000"/>
          <w:sz w:val="28"/>
          <w:szCs w:val="28"/>
          <w:lang w:val="en-US"/>
        </w:rPr>
        <w:t>3. Trong thời hạn 07 ngày làm việc kể từ ngày Giấy chứng nhận đăng ký chào bán chứng khoán ra công chúng có hiệu lực, tổ chức phát hành phải công bố Bản thông báo phát hành trên trang thông tin điện tử của tổ chức phát hành, Sở giao dịch chứng khoán nơi chứng khoán phát hành dự kiến niêm yết, đăng ký giao dịch và tối thiểu trên 01 báo điện tử.”</w:t>
      </w:r>
    </w:p>
    <w:p>
      <w:pPr>
        <w:pStyle w:val="ListParagraph"/>
        <w:numPr>
          <w:ilvl w:val="0"/>
          <w:numId w:val="1"/>
        </w:numPr>
        <w:spacing w:before="120" w:after="120"/>
        <w:ind w:hanging="426" w:start="993"/>
        <w:contextualSpacing/>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Sửa đổi, bổ sung điểm b khoản 1 Điều 28 như sau:</w:t>
      </w:r>
    </w:p>
    <w:p>
      <w:pPr>
        <w:pStyle w:val="Normal"/>
        <w:spacing w:before="120" w:after="120"/>
        <w:ind w:firstLine="567"/>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w:t>
      </w:r>
      <w:r>
        <w:rPr>
          <w:rFonts w:cs="Times New Roman" w:ascii="Times New Roman" w:hAnsi="Times New Roman"/>
          <w:color w:themeColor="text1" w:val="000000"/>
          <w:sz w:val="28"/>
          <w:szCs w:val="28"/>
          <w:lang w:val="en-US"/>
        </w:rPr>
        <w:t xml:space="preserve">b) Sau khi kết thúc đợt chào bán cổ phiếu lần đầu ra công chúng, tổ chức phát hành không đáp ứng tỷ lệ tối thiểu 15% số cổ phiếu có quyền biểu quyết (bao gồm cả số cổ phiếu được phân phối trong đợt chào bán) do ít nhất 100 nhà đầu tư không phải là cổ đông lớn nắm giữ. </w:t>
      </w:r>
    </w:p>
    <w:p>
      <w:pPr>
        <w:pStyle w:val="Normal"/>
        <w:spacing w:before="120" w:after="120"/>
        <w:ind w:firstLine="567"/>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Trường hợp tổ chức phát hành có vốn điều lệ tại thời điểm đăng ký chào bán cổ phiếu lần đầu ra công chúng từ 1.000 tỷ đồng trở lên, sau khi kết thúc đợt chào bán cổ phiếu lần đầu ra công chúng, tổ chức phát hành không đáp ứng tỷ lệ tối thiểu 10% số cổ phiếu có quyền biểu quyết (bao gồm cả số cổ phiếu được phân phối trong đợt chào bán) do ít nhất 100 nhà đầu tư không phải là cổ đông lớn nắm giữ;”</w:t>
      </w:r>
    </w:p>
    <w:p>
      <w:pPr>
        <w:pStyle w:val="ListParagraph"/>
        <w:numPr>
          <w:ilvl w:val="0"/>
          <w:numId w:val="1"/>
        </w:numPr>
        <w:spacing w:before="120" w:after="120"/>
        <w:ind w:hanging="426" w:start="993"/>
        <w:contextualSpacing/>
        <w:jc w:val="both"/>
        <w:rPr>
          <w:rFonts w:ascii="Times New Roman" w:hAnsi="Times New Roman" w:cs="Times New Roman"/>
          <w:color w:themeColor="text1" w:val="000000"/>
          <w:sz w:val="28"/>
          <w:szCs w:val="28"/>
          <w:lang w:val="en-US"/>
        </w:rPr>
      </w:pPr>
      <w:r>
        <w:rPr>
          <w:rFonts w:cs="Times New Roman" w:ascii="Times New Roman" w:hAnsi="Times New Roman"/>
          <w:bCs/>
          <w:iCs/>
          <w:color w:themeColor="text1" w:val="000000"/>
          <w:sz w:val="28"/>
          <w:szCs w:val="28"/>
          <w:lang w:val="en-US"/>
        </w:rPr>
        <w:t>Sửa đổi, b</w:t>
      </w:r>
      <w:r>
        <w:rPr>
          <w:rFonts w:cs="Times New Roman" w:ascii="Times New Roman" w:hAnsi="Times New Roman"/>
          <w:color w:themeColor="text1" w:val="000000"/>
          <w:sz w:val="28"/>
          <w:szCs w:val="28"/>
          <w:lang w:val="en-US"/>
        </w:rPr>
        <w:t>ổ sung khoản 2 Điều 43 như sau:</w:t>
      </w:r>
    </w:p>
    <w:p>
      <w:pPr>
        <w:pStyle w:val="Normal"/>
        <w:spacing w:before="120" w:after="120"/>
        <w:ind w:firstLine="567"/>
        <w:jc w:val="both"/>
        <w:rPr>
          <w:rFonts w:ascii="Times New Roman" w:hAnsi="Times New Roman" w:cs="Times New Roman"/>
          <w:bCs/>
          <w:iCs/>
          <w:color w:themeColor="text1" w:val="000000"/>
          <w:sz w:val="28"/>
          <w:szCs w:val="28"/>
          <w:lang w:val="en-US"/>
        </w:rPr>
      </w:pPr>
      <w:r>
        <w:rPr>
          <w:rFonts w:cs="Times New Roman" w:ascii="Times New Roman" w:hAnsi="Times New Roman"/>
          <w:color w:themeColor="text1" w:val="000000"/>
          <w:sz w:val="28"/>
          <w:szCs w:val="28"/>
          <w:lang w:val="en-US"/>
        </w:rPr>
        <w:t>“</w:t>
      </w:r>
      <w:r>
        <w:rPr>
          <w:rFonts w:cs="Times New Roman" w:ascii="Times New Roman" w:hAnsi="Times New Roman"/>
          <w:bCs/>
          <w:iCs/>
          <w:color w:themeColor="text1" w:val="000000"/>
          <w:sz w:val="28"/>
          <w:szCs w:val="28"/>
          <w:lang w:val="en-US"/>
        </w:rPr>
        <w:t xml:space="preserve">2. Thủ tướng Chính phủ quyết định thành lập, giải thể, mô hình hoạt động, hình thức sở hữu, </w:t>
      </w:r>
      <w:r>
        <w:rPr>
          <w:rFonts w:cs="Times New Roman" w:ascii="Times New Roman" w:hAnsi="Times New Roman"/>
          <w:bCs/>
          <w:iCs/>
          <w:color w:val="FF0000"/>
          <w:sz w:val="28"/>
          <w:szCs w:val="28"/>
          <w:lang w:val="en-US"/>
        </w:rPr>
        <w:t>cơ cấu lại vốn nhà nước tại doanh nghiệp</w:t>
      </w:r>
      <w:r>
        <w:rPr>
          <w:rFonts w:cs="Times New Roman" w:ascii="Times New Roman" w:hAnsi="Times New Roman"/>
          <w:bCs/>
          <w:iCs/>
          <w:color w:themeColor="text1" w:val="000000"/>
          <w:sz w:val="28"/>
          <w:szCs w:val="28"/>
          <w:lang w:val="en-US"/>
        </w:rPr>
        <w:t>, chức năng, quyền và nghĩa vụ của các Sở giao dịch chứng khoán theo đề nghị của Bộ trưởng Bộ Tài chính.</w:t>
      </w:r>
      <w:r>
        <w:rPr>
          <w:rFonts w:cs="Times New Roman" w:ascii="Times New Roman" w:hAnsi="Times New Roman"/>
          <w:color w:themeColor="text1" w:val="000000"/>
          <w:sz w:val="28"/>
          <w:szCs w:val="28"/>
          <w:lang w:val="en-US"/>
        </w:rPr>
        <w:t>”</w:t>
      </w:r>
    </w:p>
    <w:p>
      <w:pPr>
        <w:pStyle w:val="ListParagraph"/>
        <w:numPr>
          <w:ilvl w:val="0"/>
          <w:numId w:val="1"/>
        </w:numPr>
        <w:spacing w:before="120" w:after="120"/>
        <w:ind w:hanging="426" w:start="993"/>
        <w:contextualSpacing/>
        <w:jc w:val="both"/>
        <w:rPr>
          <w:rFonts w:ascii="Times New Roman" w:hAnsi="Times New Roman" w:cs="Times New Roman"/>
          <w:color w:themeColor="text1" w:val="000000"/>
          <w:sz w:val="28"/>
          <w:szCs w:val="28"/>
          <w:lang w:val="en-US"/>
        </w:rPr>
      </w:pPr>
      <w:r>
        <w:rPr>
          <w:rFonts w:cs="Times New Roman" w:ascii="Times New Roman" w:hAnsi="Times New Roman"/>
          <w:bCs/>
          <w:iCs/>
          <w:color w:themeColor="text1" w:val="000000"/>
          <w:sz w:val="28"/>
          <w:szCs w:val="28"/>
          <w:lang w:val="en-US"/>
        </w:rPr>
        <w:t>B</w:t>
      </w:r>
      <w:r>
        <w:rPr>
          <w:rFonts w:cs="Times New Roman" w:ascii="Times New Roman" w:hAnsi="Times New Roman"/>
          <w:color w:themeColor="text1" w:val="000000"/>
          <w:sz w:val="28"/>
          <w:szCs w:val="28"/>
          <w:lang w:val="en-US"/>
        </w:rPr>
        <w:t>ổ sung khoản 4</w:t>
      </w:r>
      <w:r>
        <w:rPr>
          <w:rFonts w:cs="Times New Roman" w:ascii="Times New Roman" w:hAnsi="Times New Roman"/>
          <w:bCs/>
          <w:iCs/>
          <w:color w:themeColor="text1" w:val="000000"/>
          <w:sz w:val="28"/>
          <w:szCs w:val="28"/>
          <w:lang w:val="en-US"/>
        </w:rPr>
        <w:t>a</w:t>
      </w:r>
      <w:r>
        <w:rPr>
          <w:rFonts w:cs="Times New Roman" w:ascii="Times New Roman" w:hAnsi="Times New Roman"/>
          <w:color w:themeColor="text1" w:val="000000"/>
          <w:sz w:val="28"/>
          <w:szCs w:val="28"/>
          <w:lang w:val="en-US"/>
        </w:rPr>
        <w:t xml:space="preserve"> Điều 50 như sau:</w:t>
      </w:r>
    </w:p>
    <w:p>
      <w:pPr>
        <w:pStyle w:val="Normal"/>
        <w:spacing w:before="120" w:after="120"/>
        <w:ind w:firstLine="567"/>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w:t>
      </w:r>
      <w:r>
        <w:rPr>
          <w:rFonts w:cs="Times New Roman" w:ascii="Times New Roman" w:hAnsi="Times New Roman"/>
          <w:bCs/>
          <w:iCs/>
          <w:color w:themeColor="text1" w:val="000000"/>
          <w:sz w:val="28"/>
          <w:szCs w:val="28"/>
          <w:lang w:val="en-US"/>
        </w:rPr>
        <w:t>4a.</w:t>
      </w:r>
      <w:r>
        <w:rPr>
          <w:rFonts w:cs="Times New Roman" w:ascii="Times New Roman" w:hAnsi="Times New Roman"/>
          <w:b/>
          <w:bCs/>
          <w:i/>
          <w:iCs/>
          <w:color w:themeColor="text1" w:val="000000"/>
          <w:sz w:val="28"/>
          <w:szCs w:val="28"/>
          <w:lang w:val="en-US"/>
        </w:rPr>
        <w:t xml:space="preserve"> </w:t>
      </w:r>
      <w:r>
        <w:rPr>
          <w:rFonts w:cs="Times New Roman" w:ascii="Times New Roman" w:hAnsi="Times New Roman"/>
          <w:color w:themeColor="text1" w:val="000000"/>
          <w:sz w:val="28"/>
          <w:szCs w:val="28"/>
        </w:rPr>
        <w:t>Giao dịch điện tử, bảo đảm an toàn giao dịch điện</w:t>
      </w:r>
      <w:r>
        <w:rPr>
          <w:rFonts w:cs="Times New Roman" w:ascii="Times New Roman" w:hAnsi="Times New Roman"/>
          <w:color w:themeColor="text1" w:val="000000"/>
          <w:sz w:val="28"/>
          <w:szCs w:val="28"/>
          <w:lang w:val="en-US"/>
        </w:rPr>
        <w:t xml:space="preserve"> </w:t>
      </w:r>
      <w:r>
        <w:rPr>
          <w:rFonts w:cs="Times New Roman" w:ascii="Times New Roman" w:hAnsi="Times New Roman"/>
          <w:color w:themeColor="text1" w:val="000000"/>
          <w:sz w:val="28"/>
          <w:szCs w:val="28"/>
        </w:rPr>
        <w:t>tử trong lĩnh vực chứng khoán thực hiện theo quy định của Bộ trưởng Bộ Tài</w:t>
      </w:r>
      <w:r>
        <w:rPr>
          <w:rFonts w:cs="Times New Roman" w:ascii="Times New Roman" w:hAnsi="Times New Roman"/>
          <w:color w:themeColor="text1" w:val="000000"/>
          <w:sz w:val="28"/>
          <w:szCs w:val="28"/>
          <w:lang w:val="en-US"/>
        </w:rPr>
        <w:t xml:space="preserve"> </w:t>
      </w:r>
      <w:r>
        <w:rPr>
          <w:rFonts w:cs="Times New Roman" w:ascii="Times New Roman" w:hAnsi="Times New Roman"/>
          <w:color w:themeColor="text1" w:val="000000"/>
          <w:sz w:val="28"/>
          <w:szCs w:val="28"/>
        </w:rPr>
        <w:t>chính</w:t>
      </w:r>
      <w:r>
        <w:rPr>
          <w:rFonts w:cs="Times New Roman" w:ascii="Times New Roman" w:hAnsi="Times New Roman"/>
          <w:color w:themeColor="text1" w:val="000000"/>
          <w:sz w:val="28"/>
          <w:szCs w:val="28"/>
          <w:lang w:val="en-US"/>
        </w:rPr>
        <w:t xml:space="preserve"> </w:t>
      </w:r>
      <w:r>
        <w:rPr>
          <w:rFonts w:cs="Times New Roman" w:ascii="Times New Roman" w:hAnsi="Times New Roman"/>
          <w:color w:themeColor="text1" w:val="000000"/>
          <w:sz w:val="28"/>
          <w:szCs w:val="28"/>
        </w:rPr>
        <w:t>và quy định của pháp luật về giao dịch điện tử</w:t>
      </w:r>
      <w:r>
        <w:rPr>
          <w:rFonts w:cs="Times New Roman" w:ascii="Times New Roman" w:hAnsi="Times New Roman"/>
          <w:color w:themeColor="text1" w:val="000000"/>
          <w:sz w:val="28"/>
          <w:szCs w:val="28"/>
          <w:lang w:val="en-US"/>
        </w:rPr>
        <w:t>.”</w:t>
      </w:r>
    </w:p>
    <w:p>
      <w:pPr>
        <w:pStyle w:val="ListParagraph"/>
        <w:numPr>
          <w:ilvl w:val="0"/>
          <w:numId w:val="1"/>
        </w:numPr>
        <w:spacing w:before="120" w:after="120"/>
        <w:ind w:hanging="426" w:start="993"/>
        <w:contextualSpacing/>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Sửa đổi, bổ sung khoản 1 Điều 57 như sau:</w:t>
      </w:r>
    </w:p>
    <w:p>
      <w:pPr>
        <w:pStyle w:val="Normal"/>
        <w:spacing w:before="120" w:after="120"/>
        <w:ind w:firstLine="567"/>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w:t>
      </w:r>
      <w:r>
        <w:rPr>
          <w:rFonts w:cs="Times New Roman" w:ascii="Times New Roman" w:hAnsi="Times New Roman"/>
          <w:color w:themeColor="text1" w:val="000000"/>
          <w:sz w:val="28"/>
          <w:szCs w:val="28"/>
          <w:lang w:val="en-US"/>
        </w:rPr>
        <w:t>1. Ngân hàng thương mại, chi nhánh ngân hàng nước ngoài được đăng ký hoạt động lưu ký chứng khoán khi có Giấy phép thành lập và hoạt động tại Việt Nam.”</w:t>
      </w:r>
    </w:p>
    <w:p>
      <w:pPr>
        <w:pStyle w:val="ListParagraph"/>
        <w:numPr>
          <w:ilvl w:val="0"/>
          <w:numId w:val="1"/>
        </w:numPr>
        <w:spacing w:before="120" w:after="120"/>
        <w:ind w:hanging="426" w:start="993"/>
        <w:contextualSpacing/>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Sửa đổi, bổ sung khoản 2 Điều 58 như sau:</w:t>
      </w:r>
    </w:p>
    <w:p>
      <w:pPr>
        <w:pStyle w:val="Normal"/>
        <w:spacing w:before="120" w:after="120"/>
        <w:ind w:firstLine="567"/>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w:t>
      </w:r>
      <w:r>
        <w:rPr>
          <w:rFonts w:cs="Times New Roman" w:ascii="Times New Roman" w:hAnsi="Times New Roman"/>
          <w:color w:themeColor="text1" w:val="000000"/>
          <w:sz w:val="28"/>
          <w:szCs w:val="28"/>
          <w:lang w:val="en-US"/>
        </w:rPr>
        <w:t>2. Hồ sơ cấp Giấy chứng nhận đăng ký hoạt động lưu ký chứng khoán cho công ty chứng khoán bao gồm tài liệu quy định tại điểm a khoản 1 Điều này.”</w:t>
      </w:r>
    </w:p>
    <w:p>
      <w:pPr>
        <w:pStyle w:val="ListParagraph"/>
        <w:numPr>
          <w:ilvl w:val="0"/>
          <w:numId w:val="1"/>
        </w:numPr>
        <w:spacing w:before="120" w:after="120"/>
        <w:ind w:hanging="426" w:start="993"/>
        <w:contextualSpacing/>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Sửa đổi, bổ sung khoản 1 Điều 69 như sau:</w:t>
      </w:r>
    </w:p>
    <w:p>
      <w:pPr>
        <w:pStyle w:val="Normal"/>
        <w:spacing w:before="120" w:after="120"/>
        <w:ind w:firstLine="567"/>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 xml:space="preserve"> “</w:t>
      </w:r>
      <w:r>
        <w:rPr>
          <w:rFonts w:cs="Times New Roman" w:ascii="Times New Roman" w:hAnsi="Times New Roman"/>
          <w:color w:themeColor="text1" w:val="000000"/>
          <w:sz w:val="28"/>
          <w:szCs w:val="28"/>
          <w:lang w:val="en-US"/>
        </w:rPr>
        <w:t>1. Ngân hàng thanh toán là Ngân hàng Nhà nước Việt Nam hoặc ngân hàng thương mại được thành lập và hoạt động tại Việt Nam theo quy định pháp luật thực hiện cung cấp dịch vụ thanh toán tiền cho các giao dịch chứng khoán trên hệ thống giao dịch chứng khoán.”</w:t>
      </w:r>
    </w:p>
    <w:p>
      <w:pPr>
        <w:pStyle w:val="ListParagraph"/>
        <w:numPr>
          <w:ilvl w:val="0"/>
          <w:numId w:val="1"/>
        </w:numPr>
        <w:spacing w:before="120" w:after="120"/>
        <w:contextualSpacing/>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Sửa đổi, bổ sung một số điểm, khoản của Điều 74 như sau:</w:t>
      </w:r>
    </w:p>
    <w:p>
      <w:pPr>
        <w:pStyle w:val="Normal"/>
        <w:spacing w:before="120" w:after="120"/>
        <w:ind w:firstLine="567"/>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a) Sửa đổi, bổ sung điểm b khoản 2 như sau:</w:t>
      </w:r>
    </w:p>
    <w:p>
      <w:pPr>
        <w:pStyle w:val="Normal"/>
        <w:spacing w:before="120" w:after="120"/>
        <w:ind w:firstLine="567"/>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w:t>
      </w:r>
      <w:r>
        <w:rPr>
          <w:rFonts w:cs="Times New Roman" w:ascii="Times New Roman" w:hAnsi="Times New Roman"/>
          <w:color w:themeColor="text1" w:val="000000"/>
          <w:sz w:val="28"/>
          <w:szCs w:val="28"/>
          <w:lang w:val="en-US"/>
        </w:rPr>
        <w:t>b) Trường hợp cổ đông, thành viên góp vốn là tổ chức: hoạt động kinh doanh có lãi trong 02 năm liền trước năm đề nghị cấp giấy phép;”</w:t>
      </w:r>
    </w:p>
    <w:p>
      <w:pPr>
        <w:pStyle w:val="Normal"/>
        <w:spacing w:before="120" w:after="120"/>
        <w:ind w:firstLine="567"/>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b) Sửa đổi, bổ sung khoản 5 như sau:</w:t>
      </w:r>
    </w:p>
    <w:p>
      <w:pPr>
        <w:pStyle w:val="Normal"/>
        <w:spacing w:before="120" w:after="120"/>
        <w:ind w:firstLine="567"/>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w:t>
      </w:r>
      <w:r>
        <w:rPr>
          <w:rFonts w:cs="Times New Roman" w:ascii="Times New Roman" w:hAnsi="Times New Roman"/>
          <w:color w:themeColor="text1" w:val="000000"/>
          <w:sz w:val="28"/>
          <w:szCs w:val="28"/>
          <w:lang w:val="en-US"/>
        </w:rPr>
        <w:t>5. Điều kiện về nhân sự bao gồm:</w:t>
      </w:r>
    </w:p>
    <w:p>
      <w:pPr>
        <w:pStyle w:val="Normal"/>
        <w:spacing w:before="120" w:after="120"/>
        <w:ind w:firstLine="567"/>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Có Tổng giám đốc (Giám đốc), tối thiểu 03 nhân viên có chứng chỉ hành nghề chứng khoán phù hợp cho mỗi nghiệp vụ kinh doanh chứng khoán đề nghị cấp phép và tối thiểu 01 nhân viên kiểm soát tuân thủ. Tổng giám đốc (Giám đốc), tối thiểu 01 người đại diện theo pháp luật phải đáp ứng các tiêu chuẩn sau đây:</w:t>
      </w:r>
    </w:p>
    <w:p>
      <w:pPr>
        <w:pStyle w:val="Normal"/>
        <w:spacing w:before="120" w:after="120"/>
        <w:ind w:firstLine="567"/>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a) Không thuộc trường hợp đang bị truy cứu trách nhiệm hình sự hoặc chấp hành án phạt tù hoặc bị cấm hành nghề chứng khoán theo quy định của pháp luật;</w:t>
      </w:r>
    </w:p>
    <w:p>
      <w:pPr>
        <w:pStyle w:val="Normal"/>
        <w:spacing w:before="120" w:after="120"/>
        <w:ind w:firstLine="567"/>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 xml:space="preserve">b) Có tối thiểu 02 năm kinh nghiệm làm việc tại bộ phận nghiệp vụ của các tổ chức trong lĩnh vực tài chính, chứng khoán, ngân hàng, bảo hiểm hoặc tại bộ phận tài chính, kế toán, đầu tư trong các doanh nghiệp khác; </w:t>
      </w:r>
    </w:p>
    <w:p>
      <w:pPr>
        <w:pStyle w:val="Normal"/>
        <w:spacing w:before="120" w:after="120"/>
        <w:ind w:firstLine="567"/>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c) Có chứng chỉ hành nghề phân tích tài chính hoặc chứng chỉ hành nghề quản lý quỹ.</w:t>
      </w:r>
    </w:p>
    <w:p>
      <w:pPr>
        <w:pStyle w:val="Normal"/>
        <w:spacing w:before="120" w:after="120"/>
        <w:ind w:firstLine="567"/>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Trường hợp có Phó Tổng giám đốc (Phó Giám đốc) phụ trách nghiệp vụ thì phải đáp ứng các tiêu chuẩn quy định tại các điểm a và điểm b khoản này và có chứng chỉ hành nghề chứng khoán phù hợp với nghiệp vụ phụ trách.”</w:t>
      </w:r>
    </w:p>
    <w:p>
      <w:pPr>
        <w:pStyle w:val="ListParagraph"/>
        <w:numPr>
          <w:ilvl w:val="0"/>
          <w:numId w:val="1"/>
        </w:numPr>
        <w:spacing w:before="120" w:after="120"/>
        <w:ind w:hanging="426" w:start="993"/>
        <w:contextualSpacing/>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Sửa đổi, bổ sung một số điểm, khoản của Điều 75 như sau:</w:t>
      </w:r>
    </w:p>
    <w:p>
      <w:pPr>
        <w:pStyle w:val="Normal"/>
        <w:spacing w:before="120" w:after="120"/>
        <w:ind w:firstLine="567"/>
        <w:jc w:val="both"/>
        <w:rPr>
          <w:rFonts w:ascii="Times New Roman" w:hAnsi="Times New Roman" w:cs="Times New Roman"/>
          <w:color w:themeColor="text1" w:val="000000"/>
          <w:sz w:val="28"/>
          <w:szCs w:val="28"/>
          <w:lang w:val="en-US" w:eastAsia="en-US"/>
        </w:rPr>
      </w:pPr>
      <w:r>
        <w:rPr>
          <w:rFonts w:cs="Times New Roman" w:ascii="Times New Roman" w:hAnsi="Times New Roman"/>
          <w:color w:themeColor="text1" w:val="000000"/>
          <w:sz w:val="28"/>
          <w:szCs w:val="28"/>
          <w:lang w:val="en-US" w:eastAsia="en-US"/>
        </w:rPr>
        <w:t>a) Sửa đổi, bổ sung điểm a khoản 2 như sau:</w:t>
      </w:r>
    </w:p>
    <w:p>
      <w:pPr>
        <w:pStyle w:val="Normal"/>
        <w:spacing w:before="120" w:after="120"/>
        <w:ind w:firstLine="567"/>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eastAsia="en-US"/>
        </w:rPr>
        <w:t>“</w:t>
      </w:r>
      <w:r>
        <w:rPr>
          <w:rFonts w:cs="Times New Roman" w:ascii="Times New Roman" w:hAnsi="Times New Roman"/>
          <w:color w:themeColor="text1" w:val="000000"/>
          <w:sz w:val="28"/>
          <w:szCs w:val="28"/>
          <w:lang w:val="en-US"/>
        </w:rPr>
        <w:t>a) Cổ đông, thành viên góp vốn đáp ứng điều kiện quy định tại điểm b khoản 2 Điều 74 của Luật này;”</w:t>
      </w:r>
    </w:p>
    <w:p>
      <w:pPr>
        <w:pStyle w:val="Normal"/>
        <w:spacing w:before="120" w:after="120"/>
        <w:ind w:firstLine="567"/>
        <w:jc w:val="both"/>
        <w:rPr>
          <w:rFonts w:ascii="Times New Roman" w:hAnsi="Times New Roman" w:cs="Times New Roman"/>
          <w:color w:themeColor="text1" w:val="000000"/>
          <w:sz w:val="28"/>
          <w:szCs w:val="28"/>
          <w:lang w:val="en-US" w:eastAsia="en-US"/>
        </w:rPr>
      </w:pPr>
      <w:r>
        <w:rPr>
          <w:rFonts w:cs="Times New Roman" w:ascii="Times New Roman" w:hAnsi="Times New Roman"/>
          <w:color w:themeColor="text1" w:val="000000"/>
          <w:sz w:val="28"/>
          <w:szCs w:val="28"/>
          <w:lang w:val="en-US"/>
        </w:rPr>
        <w:t xml:space="preserve">b) </w:t>
      </w:r>
      <w:r>
        <w:rPr>
          <w:rFonts w:cs="Times New Roman" w:ascii="Times New Roman" w:hAnsi="Times New Roman"/>
          <w:color w:themeColor="text1" w:val="000000"/>
          <w:sz w:val="28"/>
          <w:szCs w:val="28"/>
          <w:lang w:val="en-US" w:eastAsia="en-US"/>
        </w:rPr>
        <w:t>Sửa đổi, bổ sung khoản 5 như sau:</w:t>
      </w:r>
    </w:p>
    <w:p>
      <w:pPr>
        <w:pStyle w:val="Normal"/>
        <w:spacing w:before="120" w:after="120"/>
        <w:ind w:firstLine="567"/>
        <w:jc w:val="both"/>
        <w:rPr>
          <w:rFonts w:ascii="Times New Roman" w:hAnsi="Times New Roman" w:cs="Times New Roman"/>
          <w:color w:themeColor="text1" w:val="000000"/>
          <w:sz w:val="28"/>
          <w:szCs w:val="28"/>
          <w:lang w:val="en-US" w:eastAsia="en-US"/>
        </w:rPr>
      </w:pPr>
      <w:r>
        <w:rPr>
          <w:rFonts w:cs="Times New Roman" w:ascii="Times New Roman" w:hAnsi="Times New Roman"/>
          <w:color w:themeColor="text1" w:val="000000"/>
          <w:sz w:val="28"/>
          <w:szCs w:val="28"/>
          <w:lang w:val="en-US" w:eastAsia="en-US"/>
        </w:rPr>
        <w:t>“</w:t>
      </w:r>
      <w:r>
        <w:rPr>
          <w:rFonts w:cs="Times New Roman" w:ascii="Times New Roman" w:hAnsi="Times New Roman"/>
          <w:color w:themeColor="text1" w:val="000000"/>
          <w:sz w:val="28"/>
          <w:szCs w:val="28"/>
          <w:lang w:val="en-US" w:eastAsia="en-US"/>
        </w:rPr>
        <w:t>5. Điều kiện về nhân sự bao gồm:</w:t>
      </w:r>
    </w:p>
    <w:p>
      <w:pPr>
        <w:pStyle w:val="Normal"/>
        <w:spacing w:before="120" w:after="120"/>
        <w:ind w:firstLine="567"/>
        <w:jc w:val="both"/>
        <w:rPr>
          <w:rFonts w:ascii="Times New Roman" w:hAnsi="Times New Roman" w:cs="Times New Roman"/>
          <w:color w:themeColor="text1" w:val="000000"/>
          <w:sz w:val="28"/>
          <w:szCs w:val="28"/>
          <w:lang w:val="en-US" w:eastAsia="en-US"/>
        </w:rPr>
      </w:pPr>
      <w:r>
        <w:rPr>
          <w:rFonts w:cs="Times New Roman" w:ascii="Times New Roman" w:hAnsi="Times New Roman"/>
          <w:color w:themeColor="text1" w:val="000000"/>
          <w:sz w:val="28"/>
          <w:szCs w:val="28"/>
          <w:lang w:val="en-US" w:eastAsia="en-US"/>
        </w:rPr>
        <w:t>Có Tổng giám đốc (Giám đốc), tối thiểu 05 nhân viên có chứng chỉ hành nghề quản lý quỹ và tối thiểu 01 nhân viên kiểm soát tuân thủ. Tổng giám đốc (Giám đốc), tối thiểu 01 người đại diện theo pháp luật phải đáp ứng các tiêu chuẩn sau đây:</w:t>
      </w:r>
    </w:p>
    <w:p>
      <w:pPr>
        <w:pStyle w:val="Normal"/>
        <w:spacing w:before="120" w:after="120"/>
        <w:ind w:firstLine="567"/>
        <w:jc w:val="both"/>
        <w:rPr>
          <w:rFonts w:ascii="Times New Roman" w:hAnsi="Times New Roman" w:cs="Times New Roman"/>
          <w:color w:themeColor="text1" w:val="000000"/>
          <w:sz w:val="28"/>
          <w:szCs w:val="28"/>
          <w:lang w:val="en-US" w:eastAsia="en-US"/>
        </w:rPr>
      </w:pPr>
      <w:r>
        <w:rPr>
          <w:rFonts w:cs="Times New Roman" w:ascii="Times New Roman" w:hAnsi="Times New Roman"/>
          <w:color w:themeColor="text1" w:val="000000"/>
          <w:sz w:val="28"/>
          <w:szCs w:val="28"/>
          <w:lang w:val="en-US" w:eastAsia="en-US"/>
        </w:rPr>
        <w:t>a) Không thuộc trường hợp đang bị truy cứu trách nhiệm hình sự hoặc chấp hành án phạt tù hoặc bị cấm hành nghề chứng khoán theo quy định của pháp luật;</w:t>
      </w:r>
    </w:p>
    <w:p>
      <w:pPr>
        <w:pStyle w:val="Normal"/>
        <w:spacing w:before="120" w:after="120"/>
        <w:ind w:firstLine="567"/>
        <w:jc w:val="both"/>
        <w:rPr>
          <w:rFonts w:ascii="Times New Roman" w:hAnsi="Times New Roman" w:cs="Times New Roman"/>
          <w:color w:themeColor="text1" w:val="000000"/>
          <w:sz w:val="28"/>
          <w:szCs w:val="28"/>
          <w:lang w:val="en-US" w:eastAsia="en-US"/>
        </w:rPr>
      </w:pPr>
      <w:r>
        <w:rPr>
          <w:rFonts w:cs="Times New Roman" w:ascii="Times New Roman" w:hAnsi="Times New Roman"/>
          <w:color w:themeColor="text1" w:val="000000"/>
          <w:sz w:val="28"/>
          <w:szCs w:val="28"/>
          <w:lang w:val="en-US" w:eastAsia="en-US"/>
        </w:rPr>
        <w:t>b) Có tối thiểu 04 năm kinh nghiệm tại bộ phận nghiệp vụ của các tổ chức hoạt động trong lĩnh vực tài chính, chứng khoán, ngân hàng, bảo hiểm hoặc tại bộ phận tài chính, kế toán, đầu tư trong các doanh nghiệp khác;</w:t>
      </w:r>
    </w:p>
    <w:p>
      <w:pPr>
        <w:pStyle w:val="Normal"/>
        <w:spacing w:before="120" w:after="120"/>
        <w:ind w:firstLine="567"/>
        <w:jc w:val="both"/>
        <w:rPr>
          <w:rFonts w:ascii="Times New Roman" w:hAnsi="Times New Roman" w:cs="Times New Roman"/>
          <w:color w:themeColor="text1" w:val="000000"/>
          <w:sz w:val="28"/>
          <w:szCs w:val="28"/>
          <w:lang w:val="en-US" w:eastAsia="en-US"/>
        </w:rPr>
      </w:pPr>
      <w:r>
        <w:rPr>
          <w:rFonts w:cs="Times New Roman" w:ascii="Times New Roman" w:hAnsi="Times New Roman"/>
          <w:color w:themeColor="text1" w:val="000000"/>
          <w:sz w:val="28"/>
          <w:szCs w:val="28"/>
          <w:lang w:val="en-US" w:eastAsia="en-US"/>
        </w:rPr>
        <w:t>c) Có chứng chỉ hành nghề quản lý quỹ hoặc chứng chỉ tương đương theo quy định của Chính phủ.</w:t>
      </w:r>
    </w:p>
    <w:p>
      <w:pPr>
        <w:pStyle w:val="Normal"/>
        <w:spacing w:before="120" w:after="120"/>
        <w:ind w:firstLine="567"/>
        <w:jc w:val="both"/>
        <w:rPr>
          <w:rFonts w:ascii="Times New Roman" w:hAnsi="Times New Roman" w:cs="Times New Roman"/>
          <w:color w:themeColor="text1" w:val="000000"/>
          <w:sz w:val="28"/>
          <w:szCs w:val="28"/>
          <w:lang w:val="en-US" w:eastAsia="en-US"/>
        </w:rPr>
      </w:pPr>
      <w:r>
        <w:rPr>
          <w:rFonts w:cs="Times New Roman" w:ascii="Times New Roman" w:hAnsi="Times New Roman"/>
          <w:color w:themeColor="text1" w:val="000000"/>
          <w:sz w:val="28"/>
          <w:szCs w:val="28"/>
          <w:lang w:val="en-US" w:eastAsia="en-US"/>
        </w:rPr>
        <w:t>Trường hợp có Phó Tổng giám đốc (Phó Giám đốc) phụ trách nghiệp vụ thì phải đáp ứng các tiêu chuẩn quy định tại các điểm a và điểm b khoản này và có chứng chỉ hành nghề chứng khoán phù hợp với nghiệp vụ phụ trách.”</w:t>
      </w:r>
    </w:p>
    <w:p>
      <w:pPr>
        <w:pStyle w:val="ListParagraph"/>
        <w:numPr>
          <w:ilvl w:val="0"/>
          <w:numId w:val="1"/>
        </w:numPr>
        <w:spacing w:before="120" w:after="120"/>
        <w:ind w:hanging="426" w:start="993"/>
        <w:contextualSpacing/>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Sửa đổi, bổ sung điểm a và điểm b khoản 2 Điều 76 như sau:</w:t>
      </w:r>
    </w:p>
    <w:p>
      <w:pPr>
        <w:pStyle w:val="Normal"/>
        <w:spacing w:before="120" w:after="120"/>
        <w:ind w:firstLine="567"/>
        <w:jc w:val="both"/>
        <w:rPr>
          <w:rFonts w:ascii="Times New Roman" w:hAnsi="Times New Roman" w:cs="Times New Roman"/>
          <w:color w:themeColor="text1" w:val="000000"/>
          <w:sz w:val="28"/>
          <w:szCs w:val="28"/>
          <w:lang w:val="en-US" w:eastAsia="en-US"/>
        </w:rPr>
      </w:pPr>
      <w:r>
        <w:rPr>
          <w:rFonts w:cs="Times New Roman" w:ascii="Times New Roman" w:hAnsi="Times New Roman"/>
          <w:color w:themeColor="text1" w:val="000000"/>
          <w:sz w:val="28"/>
          <w:szCs w:val="28"/>
          <w:lang w:val="en-US" w:eastAsia="en-US"/>
        </w:rPr>
        <w:t>a) Sửa đổi, bổ sung điểm a như sau:</w:t>
      </w:r>
    </w:p>
    <w:p>
      <w:pPr>
        <w:pStyle w:val="Normal"/>
        <w:spacing w:before="120" w:after="120"/>
        <w:ind w:firstLine="567"/>
        <w:jc w:val="both"/>
        <w:rPr>
          <w:rFonts w:ascii="Times New Roman" w:hAnsi="Times New Roman" w:cs="Times New Roman"/>
          <w:color w:themeColor="text1" w:val="000000"/>
          <w:sz w:val="28"/>
          <w:szCs w:val="28"/>
          <w:lang w:val="en-US" w:eastAsia="en-US"/>
        </w:rPr>
      </w:pPr>
      <w:r>
        <w:rPr>
          <w:rFonts w:cs="Times New Roman" w:ascii="Times New Roman" w:hAnsi="Times New Roman"/>
          <w:color w:themeColor="text1" w:val="000000"/>
          <w:sz w:val="28"/>
          <w:szCs w:val="28"/>
          <w:lang w:val="en-US" w:eastAsia="en-US"/>
        </w:rPr>
        <w:t>“</w:t>
      </w:r>
      <w:r>
        <w:rPr>
          <w:rFonts w:cs="Times New Roman" w:ascii="Times New Roman" w:hAnsi="Times New Roman"/>
          <w:color w:themeColor="text1" w:val="000000"/>
          <w:sz w:val="28"/>
          <w:szCs w:val="28"/>
          <w:lang w:val="en-US" w:eastAsia="en-US"/>
        </w:rPr>
        <w:t>a) Được cơ quan quản lý, giám sát trong lĩnh vực chứng khoán ở nước nguyên xứ cấp phép hoạt động quản lý quỹ và được chấp thuận thành lập chi nhánh tại Việt Nam;”</w:t>
      </w:r>
    </w:p>
    <w:p>
      <w:pPr>
        <w:pStyle w:val="Normal"/>
        <w:spacing w:before="120" w:after="120"/>
        <w:ind w:firstLine="567"/>
        <w:jc w:val="both"/>
        <w:rPr>
          <w:rFonts w:ascii="Times New Roman" w:hAnsi="Times New Roman" w:cs="Times New Roman"/>
          <w:color w:themeColor="text1" w:val="000000"/>
          <w:sz w:val="28"/>
          <w:szCs w:val="28"/>
          <w:lang w:val="en-US" w:eastAsia="en-US"/>
        </w:rPr>
      </w:pPr>
      <w:r>
        <w:rPr>
          <w:rFonts w:cs="Times New Roman" w:ascii="Times New Roman" w:hAnsi="Times New Roman"/>
          <w:color w:themeColor="text1" w:val="000000"/>
          <w:sz w:val="28"/>
          <w:szCs w:val="28"/>
          <w:lang w:val="en-US" w:eastAsia="en-US"/>
        </w:rPr>
        <w:t>b) Sửa đổi, bổ sung điểm b như sau:</w:t>
      </w:r>
    </w:p>
    <w:p>
      <w:pPr>
        <w:pStyle w:val="Normal"/>
        <w:spacing w:before="120" w:after="120"/>
        <w:ind w:firstLine="567"/>
        <w:jc w:val="both"/>
        <w:rPr>
          <w:rFonts w:ascii="Times New Roman" w:hAnsi="Times New Roman" w:cs="Times New Roman"/>
          <w:color w:themeColor="text1" w:val="000000"/>
          <w:sz w:val="28"/>
          <w:szCs w:val="28"/>
          <w:lang w:val="en-US" w:eastAsia="en-US"/>
        </w:rPr>
      </w:pPr>
      <w:r>
        <w:rPr>
          <w:rFonts w:cs="Times New Roman" w:ascii="Times New Roman" w:hAnsi="Times New Roman"/>
          <w:color w:themeColor="text1" w:val="000000"/>
          <w:sz w:val="28"/>
          <w:szCs w:val="28"/>
          <w:lang w:val="en-US" w:eastAsia="en-US"/>
        </w:rPr>
        <w:t>“</w:t>
      </w:r>
      <w:r>
        <w:rPr>
          <w:rFonts w:cs="Times New Roman" w:ascii="Times New Roman" w:hAnsi="Times New Roman"/>
          <w:color w:themeColor="text1" w:val="000000"/>
          <w:sz w:val="28"/>
          <w:szCs w:val="28"/>
          <w:lang w:val="en-US" w:eastAsia="en-US"/>
        </w:rPr>
        <w:t>b) Cơ quan cấp phép của nước nguyên xứ và Ủy ban Chứng khoán Nhà nước đã ký kết thỏa thuận hợp tác song phương hoặc đa phương về trao đổi thông tin, hợp tác quản lý, thanh tra, giám sát hoạt động về chứng khoán và thị trường chứng khoán;”</w:t>
      </w:r>
    </w:p>
    <w:p>
      <w:pPr>
        <w:pStyle w:val="ListParagraph"/>
        <w:numPr>
          <w:ilvl w:val="0"/>
          <w:numId w:val="1"/>
        </w:numPr>
        <w:spacing w:before="120" w:after="120"/>
        <w:ind w:hanging="426" w:start="993"/>
        <w:contextualSpacing/>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 xml:space="preserve"> </w:t>
      </w:r>
      <w:r>
        <w:rPr>
          <w:rFonts w:cs="Times New Roman" w:ascii="Times New Roman" w:hAnsi="Times New Roman"/>
          <w:color w:themeColor="text1" w:val="000000"/>
          <w:sz w:val="28"/>
          <w:szCs w:val="28"/>
          <w:lang w:val="en-US"/>
        </w:rPr>
        <w:t>Sửa đổi, bổ sung điểm b khoản 1 Điều 78 như sau:</w:t>
      </w:r>
    </w:p>
    <w:p>
      <w:pPr>
        <w:pStyle w:val="Normal"/>
        <w:spacing w:before="120" w:after="120"/>
        <w:ind w:firstLine="567"/>
        <w:jc w:val="both"/>
        <w:rPr>
          <w:rFonts w:ascii="Times New Roman" w:hAnsi="Times New Roman" w:cs="Times New Roman"/>
          <w:color w:themeColor="text1" w:val="000000"/>
          <w:sz w:val="28"/>
          <w:szCs w:val="28"/>
          <w:lang w:val="en-US" w:eastAsia="en-US"/>
        </w:rPr>
      </w:pPr>
      <w:r>
        <w:rPr>
          <w:rFonts w:cs="Times New Roman" w:ascii="Times New Roman" w:hAnsi="Times New Roman"/>
          <w:color w:themeColor="text1" w:val="000000"/>
          <w:sz w:val="28"/>
          <w:szCs w:val="28"/>
          <w:lang w:val="en-US" w:eastAsia="en-US"/>
        </w:rPr>
        <w:t>“</w:t>
      </w:r>
      <w:r>
        <w:rPr>
          <w:rFonts w:cs="Times New Roman" w:ascii="Times New Roman" w:hAnsi="Times New Roman"/>
          <w:color w:themeColor="text1" w:val="000000"/>
          <w:sz w:val="28"/>
          <w:szCs w:val="28"/>
          <w:lang w:val="en-US" w:eastAsia="en-US"/>
        </w:rPr>
        <w:t>b) Cơ quan cấp phép của nước nguyên xứ và Ủy ban Chứng khoán Nhà nước đã ký kết thỏa thuận hợp tác song phương hoặc đa phương về trao đổi thông tin, hợp tác quản lý, thanh tra, giám sát hoạt động về chứng khoán và thị trường chứng khoán hoặc công ty chứng khoán, công ty quản lý quỹ nước ngoài đang quản lý các quỹ đang đầu tư tại Việt Nam.”</w:t>
      </w:r>
    </w:p>
    <w:p>
      <w:pPr>
        <w:pStyle w:val="ListParagraph"/>
        <w:numPr>
          <w:ilvl w:val="0"/>
          <w:numId w:val="1"/>
        </w:numPr>
        <w:spacing w:before="120" w:after="120"/>
        <w:ind w:hanging="426" w:start="993"/>
        <w:contextualSpacing/>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Sửa đổi, bổ sung một số điểm, khoản của Điều 86 như sau:</w:t>
      </w:r>
    </w:p>
    <w:p>
      <w:pPr>
        <w:pStyle w:val="Normal"/>
        <w:spacing w:before="120" w:after="120"/>
        <w:ind w:firstLine="567"/>
        <w:jc w:val="both"/>
        <w:rPr>
          <w:rFonts w:ascii="Times New Roman" w:hAnsi="Times New Roman" w:cs="Times New Roman"/>
          <w:color w:themeColor="text1" w:val="000000"/>
          <w:sz w:val="28"/>
          <w:szCs w:val="28"/>
          <w:lang w:val="en-US" w:eastAsia="en-US"/>
        </w:rPr>
      </w:pPr>
      <w:bookmarkStart w:id="4" w:name="_Hlk229607025"/>
      <w:r>
        <w:rPr>
          <w:rFonts w:cs="Times New Roman" w:ascii="Times New Roman" w:hAnsi="Times New Roman"/>
          <w:color w:themeColor="text1" w:val="000000"/>
          <w:sz w:val="28"/>
          <w:szCs w:val="28"/>
          <w:lang w:val="en-US" w:eastAsia="en-US"/>
        </w:rPr>
        <w:t>a) Sửa đổi, bổ sung điểm a khoản 1 như sau:</w:t>
      </w:r>
      <w:bookmarkEnd w:id="4"/>
    </w:p>
    <w:p>
      <w:pPr>
        <w:pStyle w:val="Normal"/>
        <w:spacing w:before="120" w:after="120"/>
        <w:ind w:firstLine="567"/>
        <w:jc w:val="both"/>
        <w:rPr>
          <w:rFonts w:ascii="Times New Roman" w:hAnsi="Times New Roman" w:cs="Times New Roman"/>
          <w:i/>
          <w:iCs/>
          <w:color w:themeColor="text1" w:val="000000"/>
          <w:sz w:val="28"/>
          <w:szCs w:val="28"/>
          <w:lang w:val="en-US" w:eastAsia="en-US"/>
        </w:rPr>
      </w:pPr>
      <w:r>
        <w:rPr>
          <w:rFonts w:cs="Times New Roman" w:ascii="Times New Roman" w:hAnsi="Times New Roman"/>
          <w:iCs/>
          <w:color w:themeColor="text1" w:val="000000"/>
          <w:sz w:val="28"/>
          <w:szCs w:val="28"/>
          <w:lang w:val="en-US" w:eastAsia="en-US"/>
        </w:rPr>
        <w:t>“</w:t>
      </w:r>
      <w:r>
        <w:rPr>
          <w:rFonts w:cs="Times New Roman" w:ascii="Times New Roman" w:hAnsi="Times New Roman"/>
          <w:color w:themeColor="text1" w:val="000000"/>
          <w:sz w:val="28"/>
          <w:szCs w:val="28"/>
          <w:shd w:fill="FFFFFF" w:val="clear"/>
        </w:rPr>
        <w:t>a) Nhận ủy thác quản lý tài khoản giao dịch chứng khoán của nhà đầu tư cá nhân; thực hiện phân phối hoặc làm đại lý phân phối</w:t>
      </w:r>
      <w:r>
        <w:rPr>
          <w:rFonts w:cs="Times New Roman" w:ascii="Times New Roman" w:hAnsi="Times New Roman"/>
          <w:color w:themeColor="text1" w:val="000000"/>
          <w:sz w:val="28"/>
          <w:szCs w:val="28"/>
          <w:shd w:fill="FFFFFF" w:val="clear"/>
          <w:lang w:val="en-US"/>
        </w:rPr>
        <w:t xml:space="preserve"> hoặc tổ chức đấu giá</w:t>
      </w:r>
      <w:r>
        <w:rPr>
          <w:rFonts w:cs="Times New Roman" w:ascii="Times New Roman" w:hAnsi="Times New Roman"/>
          <w:color w:themeColor="text1" w:val="000000"/>
          <w:sz w:val="28"/>
          <w:szCs w:val="28"/>
          <w:shd w:fill="FFFFFF" w:val="clear"/>
        </w:rPr>
        <w:t xml:space="preserve"> chứng khoán; quản lý tài khoản giao dịch chứng khoán;</w:t>
      </w:r>
      <w:r>
        <w:rPr>
          <w:rFonts w:cs="Times New Roman" w:ascii="Times New Roman" w:hAnsi="Times New Roman"/>
          <w:color w:themeColor="text1" w:val="000000"/>
          <w:sz w:val="28"/>
          <w:szCs w:val="28"/>
          <w:shd w:fill="FFFFFF" w:val="clear"/>
          <w:lang w:val="en-US"/>
        </w:rPr>
        <w:t xml:space="preserve"> </w:t>
      </w:r>
      <w:r>
        <w:rPr>
          <w:rFonts w:cs="Times New Roman" w:ascii="Times New Roman" w:hAnsi="Times New Roman"/>
          <w:color w:themeColor="text1" w:val="000000"/>
          <w:sz w:val="28"/>
          <w:szCs w:val="28"/>
          <w:shd w:fill="FFFFFF" w:val="clear"/>
        </w:rPr>
        <w:t>cung ứng dịch vụ quản lý danh sách người sở hữu chứng khoán cho các doanh nghiệp khác;</w:t>
      </w:r>
      <w:r>
        <w:rPr>
          <w:rFonts w:cs="Times New Roman" w:ascii="Times New Roman" w:hAnsi="Times New Roman"/>
          <w:color w:themeColor="text1" w:val="000000"/>
          <w:sz w:val="28"/>
          <w:szCs w:val="28"/>
          <w:shd w:fill="FFFFFF" w:val="clear"/>
          <w:lang w:val="en-US"/>
        </w:rPr>
        <w:t xml:space="preserve"> cung cấp dịch vụ đại lý quản lý tài sản bảo đảm đối với tài sản là tiền gửi của khách hàng trên tài khoản chuyên dụng, tài sản trên tài khoản lưu ký chứng khoán của khách hàng mở tại công ty chứng khoán bao gồm chứng khoán đăng ký tập trung tại Tổng công ty lưu ký và bù trừ chứng khoán Việt Nam và các quyền phát sinh từ chứng khoán này</w:t>
      </w:r>
      <w:r>
        <w:rPr>
          <w:rFonts w:cs="Times New Roman" w:ascii="Times New Roman" w:hAnsi="Times New Roman"/>
          <w:iCs/>
          <w:color w:themeColor="text1" w:val="000000"/>
          <w:sz w:val="28"/>
          <w:szCs w:val="28"/>
          <w:shd w:fill="FFFFFF" w:val="clear"/>
          <w:lang w:val="en-US"/>
        </w:rPr>
        <w:t>;</w:t>
      </w:r>
      <w:r>
        <w:rPr>
          <w:rFonts w:cs="Times New Roman" w:ascii="Times New Roman" w:hAnsi="Times New Roman"/>
          <w:iCs/>
          <w:color w:themeColor="text1" w:val="000000"/>
          <w:sz w:val="28"/>
          <w:szCs w:val="28"/>
          <w:lang w:val="en-US" w:eastAsia="en-US"/>
        </w:rPr>
        <w:t>”</w:t>
      </w:r>
    </w:p>
    <w:p>
      <w:pPr>
        <w:pStyle w:val="Normal"/>
        <w:spacing w:before="120" w:after="120"/>
        <w:ind w:firstLine="567"/>
        <w:jc w:val="both"/>
        <w:rPr>
          <w:rFonts w:ascii="Times New Roman" w:hAnsi="Times New Roman" w:cs="Times New Roman"/>
          <w:color w:themeColor="text1" w:val="000000"/>
          <w:sz w:val="28"/>
          <w:szCs w:val="28"/>
          <w:lang w:val="en-US" w:eastAsia="en-US"/>
        </w:rPr>
      </w:pPr>
      <w:r>
        <w:rPr>
          <w:rFonts w:cs="Times New Roman" w:ascii="Times New Roman" w:hAnsi="Times New Roman"/>
          <w:color w:themeColor="text1" w:val="000000"/>
          <w:sz w:val="28"/>
          <w:szCs w:val="28"/>
          <w:lang w:val="en-US" w:eastAsia="en-US"/>
        </w:rPr>
        <w:t>b) Sửa đổi, bổ sung khoản 3 như sau:</w:t>
      </w:r>
    </w:p>
    <w:p>
      <w:pPr>
        <w:pStyle w:val="Normal"/>
        <w:spacing w:before="120" w:after="120"/>
        <w:ind w:firstLine="567"/>
        <w:jc w:val="both"/>
        <w:rPr>
          <w:rFonts w:ascii="Times New Roman" w:hAnsi="Times New Roman" w:cs="Times New Roman"/>
          <w:color w:themeColor="text1" w:val="000000"/>
          <w:sz w:val="28"/>
          <w:szCs w:val="28"/>
          <w:lang w:val="en-US" w:eastAsia="en-US"/>
        </w:rPr>
      </w:pPr>
      <w:r>
        <w:rPr>
          <w:rFonts w:cs="Times New Roman" w:ascii="Times New Roman" w:hAnsi="Times New Roman"/>
          <w:color w:themeColor="text1" w:val="000000"/>
          <w:sz w:val="28"/>
          <w:szCs w:val="28"/>
          <w:lang w:val="en-US" w:eastAsia="en-US"/>
        </w:rPr>
        <w:t>“</w:t>
      </w:r>
      <w:r>
        <w:rPr>
          <w:rFonts w:cs="Times New Roman" w:ascii="Times New Roman" w:hAnsi="Times New Roman"/>
          <w:color w:themeColor="text1" w:val="000000"/>
          <w:sz w:val="28"/>
          <w:szCs w:val="28"/>
          <w:lang w:eastAsia="en-US"/>
        </w:rPr>
        <w:t>3. Công ty chứng khoán được cấp phép thực hiện nghiệp vụ bảo lãnh phát hành chứng khoán được cung cấp dịch vụ tư vấn hồ sơ chào bán chứng khoán, thực hiện các thủ tục trước khi chào bán chứng khoán; đại lý lưu ký, thanh toán, chuyển nhượng chứng khoán; tư vấn tái cơ cấu, hợp nhất, sáp nhập, tổ chức lại, mua bán doanh nghiệp; tư vấn quản trị, tư vấn chiến lược doanh nghiệp; tư vấn chào bán, niêm yết, đăng ký giao dịch chứng khoán; tư vấn cổ phần hóa doanh nghiệp</w:t>
      </w:r>
      <w:r>
        <w:rPr>
          <w:rFonts w:cs="Times New Roman" w:ascii="Times New Roman" w:hAnsi="Times New Roman"/>
          <w:color w:themeColor="text1" w:val="000000"/>
          <w:sz w:val="28"/>
          <w:szCs w:val="28"/>
          <w:lang w:val="en-US" w:eastAsia="en-US"/>
        </w:rPr>
        <w:t xml:space="preserve">; </w:t>
      </w:r>
      <w:bookmarkStart w:id="5" w:name="_Hlk229559041"/>
      <w:r>
        <w:rPr>
          <w:rFonts w:cs="Times New Roman" w:ascii="Times New Roman" w:hAnsi="Times New Roman"/>
          <w:color w:themeColor="text1" w:val="000000"/>
          <w:sz w:val="28"/>
          <w:szCs w:val="28"/>
          <w:lang w:val="en-US" w:eastAsia="en-US"/>
        </w:rPr>
        <w:t>cung cấp dịch vụ làm đại diện người sở hữu trái phiếu</w:t>
      </w:r>
      <w:bookmarkEnd w:id="5"/>
      <w:r>
        <w:rPr>
          <w:rFonts w:cs="Times New Roman" w:ascii="Times New Roman" w:hAnsi="Times New Roman"/>
          <w:color w:themeColor="text1" w:val="000000"/>
          <w:sz w:val="28"/>
          <w:szCs w:val="28"/>
          <w:lang w:val="en-US" w:eastAsia="en-US"/>
        </w:rPr>
        <w:t>.”</w:t>
      </w:r>
    </w:p>
    <w:p>
      <w:pPr>
        <w:pStyle w:val="Normal"/>
        <w:spacing w:before="120" w:after="120"/>
        <w:ind w:firstLine="567"/>
        <w:jc w:val="both"/>
        <w:rPr>
          <w:rFonts w:ascii="Times New Roman" w:hAnsi="Times New Roman" w:cs="Times New Roman"/>
          <w:color w:themeColor="text1" w:val="000000"/>
          <w:sz w:val="28"/>
          <w:szCs w:val="28"/>
          <w:lang w:val="en-US" w:eastAsia="en-US"/>
        </w:rPr>
      </w:pPr>
      <w:r>
        <w:rPr>
          <w:rFonts w:cs="Times New Roman" w:ascii="Times New Roman" w:hAnsi="Times New Roman"/>
          <w:color w:themeColor="text1" w:val="000000"/>
          <w:sz w:val="28"/>
          <w:szCs w:val="28"/>
          <w:lang w:val="en-US" w:eastAsia="en-US"/>
        </w:rPr>
        <w:t>c) Sửa đổi, bổ sung khoản 8 như sau:</w:t>
      </w:r>
    </w:p>
    <w:p>
      <w:pPr>
        <w:pStyle w:val="Normal"/>
        <w:spacing w:before="120" w:after="120"/>
        <w:ind w:firstLine="567"/>
        <w:jc w:val="both"/>
        <w:rPr>
          <w:rFonts w:ascii="Times New Roman" w:hAnsi="Times New Roman" w:cs="Times New Roman"/>
          <w:color w:themeColor="text1" w:val="000000"/>
          <w:sz w:val="28"/>
          <w:szCs w:val="28"/>
          <w:lang w:val="en-US" w:eastAsia="en-US"/>
        </w:rPr>
      </w:pPr>
      <w:r>
        <w:rPr>
          <w:rFonts w:cs="Times New Roman" w:ascii="Times New Roman" w:hAnsi="Times New Roman"/>
          <w:color w:themeColor="text1" w:val="000000"/>
          <w:sz w:val="28"/>
          <w:szCs w:val="28"/>
          <w:lang w:val="en-US" w:eastAsia="en-US"/>
        </w:rPr>
        <w:t>“</w:t>
      </w:r>
      <w:r>
        <w:rPr>
          <w:rFonts w:cs="Times New Roman" w:ascii="Times New Roman" w:hAnsi="Times New Roman"/>
          <w:color w:themeColor="text1" w:val="000000"/>
          <w:sz w:val="28"/>
          <w:szCs w:val="28"/>
          <w:lang w:val="en-US" w:eastAsia="en-US"/>
        </w:rPr>
        <w:t xml:space="preserve">8. </w:t>
      </w:r>
      <w:r>
        <w:rPr>
          <w:rFonts w:cs="Times New Roman" w:ascii="Times New Roman" w:hAnsi="Times New Roman"/>
          <w:color w:themeColor="text1" w:val="000000"/>
          <w:sz w:val="28"/>
          <w:szCs w:val="28"/>
        </w:rPr>
        <w:t>Bộ trưởng Bộ Tài chính quy định chi tiết về hoạt động của công ty chứng khoán, công ty quản lý quỹ đầu tư chứng khoán, chi nhánh và văn phòng đại diện công ty chứng khoán, công ty quản lý quỹ đầu tư chứng khoán và chi nhánh, văn phòng đại diện công ty chứng khoán, công ty quản lý quỹ nước ngoài tại Việt Nam; các dịch vụ được cung cấp, việc tạm ngừng, đình chỉ việc cung cấp dịch vụ tài chính khác của công ty chứng khoán quy định tại các khoản 1, 2, 3, 4 và 5 của Điều này</w:t>
      </w:r>
      <w:r>
        <w:rPr>
          <w:rFonts w:cs="Times New Roman" w:ascii="Times New Roman" w:hAnsi="Times New Roman"/>
          <w:color w:themeColor="text1" w:val="000000"/>
          <w:sz w:val="28"/>
          <w:szCs w:val="28"/>
          <w:lang w:val="en-US"/>
        </w:rPr>
        <w:t xml:space="preserve">. </w:t>
      </w:r>
      <w:r>
        <w:rPr>
          <w:rFonts w:cs="Times New Roman" w:ascii="Times New Roman" w:hAnsi="Times New Roman"/>
          <w:bCs/>
          <w:iCs/>
          <w:color w:themeColor="text1" w:val="000000"/>
          <w:sz w:val="28"/>
          <w:szCs w:val="28"/>
          <w:lang w:val="en-US"/>
        </w:rPr>
        <w:t>Việc ứng dụng công nghệ mới trong cung cấp dịch vụ chứng khoán thực hiện theo quy định của Bộ trưởng Bộ Tài chính và các quy định khác của pháp luật có liên quan.</w:t>
      </w:r>
      <w:r>
        <w:rPr>
          <w:rFonts w:cs="Times New Roman" w:ascii="Times New Roman" w:hAnsi="Times New Roman"/>
          <w:color w:themeColor="text1" w:val="000000"/>
          <w:sz w:val="28"/>
          <w:szCs w:val="28"/>
          <w:lang w:val="en-US" w:eastAsia="en-US"/>
        </w:rPr>
        <w:t>”</w:t>
      </w:r>
    </w:p>
    <w:p>
      <w:pPr>
        <w:pStyle w:val="ListParagraph"/>
        <w:numPr>
          <w:ilvl w:val="0"/>
          <w:numId w:val="1"/>
        </w:numPr>
        <w:spacing w:before="120" w:after="120"/>
        <w:ind w:firstLine="567" w:start="0"/>
        <w:contextualSpacing/>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Sửa đổi, bổ sung khoản 4 Điều 89 như sau:</w:t>
      </w:r>
    </w:p>
    <w:p>
      <w:pPr>
        <w:pStyle w:val="Normal"/>
        <w:spacing w:before="120" w:after="120"/>
        <w:ind w:firstLine="567"/>
        <w:jc w:val="both"/>
        <w:rPr>
          <w:rFonts w:ascii="Times New Roman" w:hAnsi="Times New Roman" w:cs="Times New Roman"/>
          <w:color w:themeColor="text1" w:val="000000"/>
          <w:sz w:val="28"/>
          <w:szCs w:val="28"/>
          <w:lang w:val="en-US" w:eastAsia="en-US"/>
        </w:rPr>
      </w:pPr>
      <w:r>
        <w:rPr>
          <w:rFonts w:cs="Times New Roman" w:ascii="Times New Roman" w:hAnsi="Times New Roman"/>
          <w:color w:themeColor="text1" w:val="000000"/>
          <w:sz w:val="28"/>
          <w:szCs w:val="28"/>
          <w:lang w:val="en-US" w:eastAsia="en-US"/>
        </w:rPr>
        <w:t>“</w:t>
      </w:r>
      <w:r>
        <w:rPr>
          <w:rFonts w:cs="Times New Roman" w:ascii="Times New Roman" w:hAnsi="Times New Roman"/>
          <w:color w:themeColor="text1" w:val="000000"/>
          <w:sz w:val="28"/>
          <w:szCs w:val="28"/>
          <w:lang w:val="en-US" w:eastAsia="en-US"/>
        </w:rPr>
        <w:t>4. Giao kết hợp đồng bằng văn bản hoặc hình thức phù hợp theo</w:t>
      </w:r>
      <w:r>
        <w:rPr>
          <w:rFonts w:cs="Times New Roman" w:ascii="Times New Roman" w:hAnsi="Times New Roman"/>
          <w:b/>
          <w:bCs/>
          <w:iCs/>
          <w:color w:themeColor="text1" w:val="000000"/>
          <w:sz w:val="28"/>
          <w:szCs w:val="28"/>
          <w:lang w:val="en-US" w:eastAsia="en-US"/>
        </w:rPr>
        <w:t xml:space="preserve"> </w:t>
      </w:r>
      <w:r>
        <w:rPr>
          <w:rFonts w:cs="Times New Roman" w:ascii="Times New Roman" w:hAnsi="Times New Roman"/>
          <w:bCs/>
          <w:iCs/>
          <w:color w:themeColor="text1" w:val="000000"/>
          <w:sz w:val="28"/>
          <w:szCs w:val="28"/>
          <w:lang w:val="en-US" w:eastAsia="en-US"/>
        </w:rPr>
        <w:t>quy định của pháp luật về giao dịch điện tử</w:t>
      </w:r>
      <w:r>
        <w:rPr>
          <w:rFonts w:cs="Times New Roman" w:ascii="Times New Roman" w:hAnsi="Times New Roman"/>
          <w:b/>
          <w:bCs/>
          <w:iCs/>
          <w:color w:themeColor="text1" w:val="000000"/>
          <w:sz w:val="28"/>
          <w:szCs w:val="28"/>
          <w:lang w:val="en-US" w:eastAsia="en-US"/>
        </w:rPr>
        <w:t xml:space="preserve"> </w:t>
      </w:r>
      <w:r>
        <w:rPr>
          <w:rFonts w:cs="Times New Roman" w:ascii="Times New Roman" w:hAnsi="Times New Roman"/>
          <w:color w:themeColor="text1" w:val="000000"/>
          <w:sz w:val="28"/>
          <w:szCs w:val="28"/>
          <w:lang w:val="en-US" w:eastAsia="en-US"/>
        </w:rPr>
        <w:t>khi cung cấp dịch vụ cho khách hàng; cung cấp đầy đủ, trung thực thông tin cho khách hàng.”</w:t>
      </w:r>
    </w:p>
    <w:p>
      <w:pPr>
        <w:pStyle w:val="ListParagraph"/>
        <w:numPr>
          <w:ilvl w:val="0"/>
          <w:numId w:val="1"/>
        </w:numPr>
        <w:spacing w:before="120" w:after="120"/>
        <w:ind w:hanging="426" w:start="993"/>
        <w:contextualSpacing/>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Sửa đổi, bổ sung một số điểm, khoản của Điều 97 như sau:</w:t>
      </w:r>
    </w:p>
    <w:p>
      <w:pPr>
        <w:pStyle w:val="Normal"/>
        <w:spacing w:before="120" w:after="120"/>
        <w:ind w:firstLine="567"/>
        <w:jc w:val="both"/>
        <w:rPr>
          <w:rFonts w:ascii="Times New Roman" w:hAnsi="Times New Roman" w:cs="Times New Roman"/>
          <w:color w:themeColor="text1" w:val="000000"/>
          <w:sz w:val="28"/>
          <w:szCs w:val="28"/>
          <w:lang w:val="en-US" w:eastAsia="en-US"/>
        </w:rPr>
      </w:pPr>
      <w:r>
        <w:rPr>
          <w:rFonts w:cs="Times New Roman" w:ascii="Times New Roman" w:hAnsi="Times New Roman"/>
          <w:color w:themeColor="text1" w:val="000000"/>
          <w:sz w:val="28"/>
          <w:szCs w:val="28"/>
          <w:lang w:val="en-US" w:eastAsia="en-US"/>
        </w:rPr>
        <w:t>a) Sửa đổi, bổ sung điểm d khoản 2 như sau:</w:t>
      </w:r>
    </w:p>
    <w:p>
      <w:pPr>
        <w:pStyle w:val="Normal"/>
        <w:spacing w:before="120" w:after="120"/>
        <w:ind w:firstLine="567"/>
        <w:jc w:val="both"/>
        <w:rPr>
          <w:rFonts w:ascii="Times New Roman" w:hAnsi="Times New Roman" w:cs="Times New Roman"/>
          <w:color w:themeColor="text1" w:val="000000"/>
          <w:sz w:val="28"/>
          <w:szCs w:val="28"/>
          <w:lang w:val="en-US" w:eastAsia="en-US"/>
        </w:rPr>
      </w:pPr>
      <w:r>
        <w:rPr>
          <w:rFonts w:cs="Times New Roman" w:ascii="Times New Roman" w:hAnsi="Times New Roman"/>
          <w:color w:themeColor="text1" w:val="000000"/>
          <w:sz w:val="28"/>
          <w:szCs w:val="28"/>
          <w:lang w:val="en-US" w:eastAsia="en-US"/>
        </w:rPr>
        <w:t>“</w:t>
      </w:r>
      <w:r>
        <w:rPr>
          <w:rFonts w:cs="Times New Roman" w:ascii="Times New Roman" w:hAnsi="Times New Roman"/>
          <w:color w:themeColor="text1" w:val="000000"/>
          <w:sz w:val="28"/>
          <w:szCs w:val="28"/>
          <w:lang w:val="en-US" w:eastAsia="en-US"/>
        </w:rPr>
        <w:t xml:space="preserve">d) </w:t>
      </w:r>
      <w:r>
        <w:rPr>
          <w:rFonts w:cs="Times New Roman" w:ascii="Times New Roman" w:hAnsi="Times New Roman"/>
          <w:color w:themeColor="text1" w:val="000000"/>
          <w:sz w:val="28"/>
          <w:szCs w:val="28"/>
        </w:rPr>
        <w:t>Đạt yêu cầu trong kỳ thi sát hạch cấp chứng chỉ hành nghề chứng khoán phù hợp với loại chứng chỉ hành nghề chứng khoán đề nghị cấp.</w:t>
      </w:r>
      <w:r>
        <w:rPr>
          <w:rFonts w:cs="Times New Roman" w:ascii="Times New Roman" w:hAnsi="Times New Roman"/>
          <w:color w:themeColor="text1" w:val="000000"/>
          <w:sz w:val="28"/>
          <w:szCs w:val="28"/>
          <w:lang w:val="en-US" w:eastAsia="en-US"/>
        </w:rPr>
        <w:t>”</w:t>
      </w:r>
    </w:p>
    <w:p>
      <w:pPr>
        <w:pStyle w:val="Normal"/>
        <w:spacing w:before="120" w:after="120"/>
        <w:ind w:firstLine="567"/>
        <w:jc w:val="both"/>
        <w:rPr>
          <w:rFonts w:ascii="Times New Roman" w:hAnsi="Times New Roman" w:cs="Times New Roman"/>
          <w:color w:themeColor="text1" w:val="000000"/>
          <w:sz w:val="28"/>
          <w:szCs w:val="28"/>
          <w:lang w:val="en-US" w:eastAsia="en-US"/>
        </w:rPr>
      </w:pPr>
      <w:r>
        <w:rPr>
          <w:rFonts w:cs="Times New Roman" w:ascii="Times New Roman" w:hAnsi="Times New Roman"/>
          <w:color w:themeColor="text1" w:val="000000"/>
          <w:sz w:val="28"/>
          <w:szCs w:val="28"/>
          <w:lang w:val="en-US" w:eastAsia="en-US"/>
        </w:rPr>
        <w:t>b) Sửa đổi, bổ sung khoản 3 như sau:</w:t>
      </w:r>
    </w:p>
    <w:p>
      <w:pPr>
        <w:pStyle w:val="Normal"/>
        <w:spacing w:before="120" w:after="120"/>
        <w:ind w:firstLine="567"/>
        <w:jc w:val="both"/>
        <w:rPr>
          <w:rFonts w:ascii="Times New Roman" w:hAnsi="Times New Roman" w:cs="Times New Roman"/>
          <w:color w:themeColor="text1" w:val="000000"/>
          <w:sz w:val="28"/>
          <w:szCs w:val="28"/>
          <w:lang w:val="en-US" w:eastAsia="en-US"/>
        </w:rPr>
      </w:pPr>
      <w:r>
        <w:rPr>
          <w:rFonts w:cs="Times New Roman" w:ascii="Times New Roman" w:hAnsi="Times New Roman"/>
          <w:color w:themeColor="text1" w:val="000000"/>
          <w:sz w:val="28"/>
          <w:szCs w:val="28"/>
          <w:lang w:val="en-US" w:eastAsia="en-US"/>
        </w:rPr>
        <w:t>“</w:t>
      </w:r>
      <w:r>
        <w:rPr>
          <w:rFonts w:cs="Times New Roman" w:ascii="Times New Roman" w:hAnsi="Times New Roman"/>
          <w:color w:themeColor="text1" w:val="000000"/>
          <w:sz w:val="28"/>
          <w:szCs w:val="28"/>
          <w:lang w:val="en-US" w:eastAsia="en-US"/>
        </w:rPr>
        <w:t>3. Người được cấp chứng chỉ hành nghề chứng khoán bị thu hồi chứng chỉ hành nghề chứng khoán khi thuộc một trong các trường hợp sau đây:</w:t>
      </w:r>
    </w:p>
    <w:p>
      <w:pPr>
        <w:pStyle w:val="Normal"/>
        <w:spacing w:before="120" w:after="120"/>
        <w:ind w:firstLine="567"/>
        <w:jc w:val="both"/>
        <w:rPr>
          <w:rFonts w:ascii="Times New Roman" w:hAnsi="Times New Roman" w:cs="Times New Roman"/>
          <w:color w:themeColor="text1" w:val="000000"/>
          <w:sz w:val="28"/>
          <w:szCs w:val="28"/>
          <w:lang w:val="en-US" w:eastAsia="en-US"/>
        </w:rPr>
      </w:pPr>
      <w:r>
        <w:rPr>
          <w:rFonts w:cs="Times New Roman" w:ascii="Times New Roman" w:hAnsi="Times New Roman"/>
          <w:color w:themeColor="text1" w:val="000000"/>
          <w:sz w:val="28"/>
          <w:szCs w:val="28"/>
          <w:lang w:val="en-US" w:eastAsia="en-US"/>
        </w:rPr>
        <w:t>a) Không còn đáp ứng điều kiện cấp chứng chỉ hành nghề chứng khoán quy định tại khoản 2 Điều này;</w:t>
      </w:r>
    </w:p>
    <w:p>
      <w:pPr>
        <w:pStyle w:val="Normal"/>
        <w:spacing w:before="120" w:after="120"/>
        <w:ind w:firstLine="567"/>
        <w:jc w:val="both"/>
        <w:rPr>
          <w:rFonts w:ascii="Times New Roman" w:hAnsi="Times New Roman" w:cs="Times New Roman"/>
          <w:color w:themeColor="text1" w:val="000000"/>
          <w:sz w:val="28"/>
          <w:szCs w:val="28"/>
          <w:lang w:val="en-US" w:eastAsia="en-US"/>
        </w:rPr>
      </w:pPr>
      <w:r>
        <w:rPr>
          <w:rFonts w:cs="Times New Roman" w:ascii="Times New Roman" w:hAnsi="Times New Roman"/>
          <w:color w:themeColor="text1" w:val="000000"/>
          <w:sz w:val="28"/>
          <w:szCs w:val="28"/>
          <w:lang w:val="en-US" w:eastAsia="en-US"/>
        </w:rPr>
        <w:t xml:space="preserve">b) </w:t>
      </w:r>
      <w:r>
        <w:rPr>
          <w:rFonts w:cs="Times New Roman" w:ascii="Times New Roman" w:hAnsi="Times New Roman"/>
          <w:color w:themeColor="text1" w:val="000000"/>
          <w:sz w:val="28"/>
          <w:szCs w:val="28"/>
          <w:lang w:eastAsia="en-US"/>
        </w:rPr>
        <w:t>Không thực hiện nghĩa vụ tham gia tập huấn hằng năm</w:t>
      </w:r>
      <w:r>
        <w:rPr>
          <w:rFonts w:cs="Times New Roman" w:ascii="Times New Roman" w:hAnsi="Times New Roman"/>
          <w:color w:themeColor="text1" w:val="000000"/>
          <w:sz w:val="28"/>
          <w:szCs w:val="28"/>
          <w:lang w:val="en-US" w:eastAsia="en-US"/>
        </w:rPr>
        <w:t xml:space="preserve"> theo quy định tại điểm b khoản 3 Điều 98 của Luật này trong 03 năm liên tục;</w:t>
      </w:r>
    </w:p>
    <w:p>
      <w:pPr>
        <w:pStyle w:val="Normal"/>
        <w:spacing w:before="120" w:after="120"/>
        <w:ind w:firstLine="567"/>
        <w:jc w:val="both"/>
        <w:rPr>
          <w:rFonts w:ascii="Times New Roman" w:hAnsi="Times New Roman" w:cs="Times New Roman"/>
          <w:color w:themeColor="text1" w:val="000000"/>
          <w:sz w:val="28"/>
          <w:szCs w:val="28"/>
          <w:lang w:val="en-US" w:eastAsia="en-US"/>
        </w:rPr>
      </w:pPr>
      <w:r>
        <w:rPr>
          <w:rFonts w:cs="Times New Roman" w:ascii="Times New Roman" w:hAnsi="Times New Roman"/>
          <w:color w:themeColor="text1" w:val="000000"/>
          <w:sz w:val="28"/>
          <w:szCs w:val="28"/>
          <w:lang w:val="en-US" w:eastAsia="en-US"/>
        </w:rPr>
        <w:t xml:space="preserve">c) Không làm việc tại tổ chức sử dụng người được cấp chứng chỉ hành nghề chứng khoán trong 03 năm liên tục </w:t>
      </w:r>
      <w:r>
        <w:rPr>
          <w:rFonts w:cs="Times New Roman" w:ascii="Times New Roman" w:hAnsi="Times New Roman"/>
          <w:iCs/>
          <w:color w:themeColor="text1" w:val="000000"/>
          <w:sz w:val="28"/>
          <w:szCs w:val="28"/>
        </w:rPr>
        <w:t xml:space="preserve">(thời gian không làm việc không tính thời gian giữ chức danh thành viên Hội đồng quản trị, thành viên Hội đồng thành viên, Chủ tịch công ty, thành viên Ban kiểm soát hoặc </w:t>
      </w:r>
      <w:r>
        <w:rPr>
          <w:rFonts w:cs="Times New Roman" w:ascii="Times New Roman" w:hAnsi="Times New Roman"/>
          <w:iCs/>
          <w:color w:themeColor="text1" w:val="000000"/>
          <w:sz w:val="28"/>
          <w:szCs w:val="28"/>
          <w:lang w:val="en-US"/>
        </w:rPr>
        <w:t>K</w:t>
      </w:r>
      <w:r>
        <w:rPr>
          <w:rFonts w:cs="Times New Roman" w:ascii="Times New Roman" w:hAnsi="Times New Roman"/>
          <w:iCs/>
          <w:color w:themeColor="text1" w:val="000000"/>
          <w:sz w:val="28"/>
          <w:szCs w:val="28"/>
        </w:rPr>
        <w:t>iểm soát viên của tổ chức sử dụng người được cấp chứng chỉ hành nghề chứng khoán)</w:t>
      </w:r>
      <w:r>
        <w:rPr>
          <w:rFonts w:cs="Times New Roman" w:ascii="Times New Roman" w:hAnsi="Times New Roman"/>
          <w:color w:themeColor="text1" w:val="000000"/>
          <w:sz w:val="28"/>
          <w:szCs w:val="28"/>
          <w:lang w:val="en-US" w:eastAsia="en-US"/>
        </w:rPr>
        <w:t>.”</w:t>
      </w:r>
    </w:p>
    <w:p>
      <w:pPr>
        <w:pStyle w:val="Normal"/>
        <w:spacing w:before="120" w:after="120"/>
        <w:ind w:firstLine="567"/>
        <w:jc w:val="both"/>
        <w:rPr>
          <w:rFonts w:ascii="Times New Roman" w:hAnsi="Times New Roman" w:cs="Times New Roman"/>
          <w:color w:themeColor="text1" w:val="000000"/>
          <w:sz w:val="28"/>
          <w:szCs w:val="28"/>
          <w:lang w:val="en-US" w:eastAsia="en-US"/>
        </w:rPr>
      </w:pPr>
      <w:r>
        <w:rPr>
          <w:rFonts w:cs="Times New Roman" w:ascii="Times New Roman" w:hAnsi="Times New Roman"/>
          <w:color w:themeColor="text1" w:val="000000"/>
          <w:sz w:val="28"/>
          <w:szCs w:val="28"/>
          <w:lang w:val="en-US" w:eastAsia="en-US"/>
        </w:rPr>
        <w:t>c) Sửa đổi, bổ sung khoản 5 như sau:</w:t>
      </w:r>
    </w:p>
    <w:p>
      <w:pPr>
        <w:pStyle w:val="Normal"/>
        <w:spacing w:before="120" w:after="120"/>
        <w:ind w:firstLine="567"/>
        <w:jc w:val="both"/>
        <w:rPr>
          <w:rFonts w:ascii="Times New Roman" w:hAnsi="Times New Roman" w:cs="Times New Roman"/>
          <w:color w:themeColor="text1" w:val="000000"/>
          <w:sz w:val="28"/>
          <w:szCs w:val="28"/>
          <w:lang w:val="en-US" w:eastAsia="en-US"/>
        </w:rPr>
      </w:pPr>
      <w:r>
        <w:rPr>
          <w:rFonts w:cs="Times New Roman" w:ascii="Times New Roman" w:hAnsi="Times New Roman"/>
          <w:color w:themeColor="text1" w:val="000000"/>
          <w:sz w:val="28"/>
          <w:szCs w:val="28"/>
          <w:lang w:val="en-US" w:eastAsia="en-US"/>
        </w:rPr>
        <w:t>“</w:t>
      </w:r>
      <w:r>
        <w:rPr>
          <w:rFonts w:cs="Times New Roman" w:ascii="Times New Roman" w:hAnsi="Times New Roman"/>
          <w:color w:themeColor="text1" w:val="000000"/>
          <w:sz w:val="28"/>
          <w:szCs w:val="28"/>
          <w:lang w:val="en-US" w:eastAsia="en-US"/>
        </w:rPr>
        <w:t xml:space="preserve">5. </w:t>
      </w:r>
      <w:r>
        <w:rPr>
          <w:rFonts w:cs="Times New Roman" w:ascii="Times New Roman" w:hAnsi="Times New Roman"/>
          <w:color w:themeColor="text1" w:val="000000"/>
          <w:kern w:val="2"/>
          <w:sz w:val="28"/>
          <w:szCs w:val="28"/>
          <w:lang w:val="en-US"/>
        </w:rPr>
        <w:t xml:space="preserve">Chính phủ quy định chi tiết điều kiện, hồ sơ, trình tự, thủ tục cấp, cấp lại chứng chỉ hành nghề chứng khoán; </w:t>
      </w:r>
      <w:r>
        <w:rPr>
          <w:rFonts w:cs="Times New Roman" w:ascii="Times New Roman" w:hAnsi="Times New Roman"/>
          <w:color w:themeColor="text1" w:val="000000"/>
          <w:sz w:val="28"/>
          <w:szCs w:val="28"/>
        </w:rPr>
        <w:t>việc thu hồi chứng chỉ hành nghề chứng khoán</w:t>
      </w:r>
      <w:r>
        <w:rPr>
          <w:rFonts w:cs="Times New Roman" w:ascii="Times New Roman" w:hAnsi="Times New Roman"/>
          <w:color w:themeColor="text1" w:val="000000"/>
          <w:sz w:val="28"/>
          <w:szCs w:val="28"/>
          <w:lang w:val="en-US"/>
        </w:rPr>
        <w:t>;</w:t>
      </w:r>
      <w:r>
        <w:rPr>
          <w:rFonts w:cs="Times New Roman" w:ascii="Times New Roman" w:hAnsi="Times New Roman"/>
          <w:color w:themeColor="text1" w:val="000000"/>
          <w:kern w:val="2"/>
          <w:sz w:val="28"/>
          <w:szCs w:val="28"/>
          <w:lang w:val="en-US"/>
        </w:rPr>
        <w:t xml:space="preserve"> việc quản lý, giám sát người hành nghề chứng khoán và người được cấp chứng chỉ hành nghề chứng khoán; việc tổ chức thi sát hạch cấp chứng chỉ hành nghề chứng khoán.</w:t>
      </w:r>
      <w:r>
        <w:rPr>
          <w:rFonts w:cs="Times New Roman" w:ascii="Times New Roman" w:hAnsi="Times New Roman"/>
          <w:color w:themeColor="text1" w:val="000000"/>
          <w:sz w:val="28"/>
          <w:szCs w:val="28"/>
          <w:lang w:val="en-US" w:eastAsia="en-US"/>
        </w:rPr>
        <w:t>”</w:t>
      </w:r>
    </w:p>
    <w:p>
      <w:pPr>
        <w:pStyle w:val="ListParagraph"/>
        <w:numPr>
          <w:ilvl w:val="0"/>
          <w:numId w:val="1"/>
        </w:numPr>
        <w:spacing w:before="120" w:after="120"/>
        <w:ind w:hanging="426" w:start="993"/>
        <w:contextualSpacing/>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Sửa đổi, bổ sung Điều 98 như sau:</w:t>
      </w:r>
    </w:p>
    <w:p>
      <w:pPr>
        <w:pStyle w:val="Normal"/>
        <w:spacing w:before="120" w:after="120"/>
        <w:ind w:firstLine="567"/>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eastAsia="en-US"/>
        </w:rPr>
        <w:t xml:space="preserve"> “</w:t>
      </w:r>
      <w:r>
        <w:rPr>
          <w:rFonts w:cs="Times New Roman" w:ascii="Times New Roman" w:hAnsi="Times New Roman"/>
          <w:b/>
          <w:color w:themeColor="text1" w:val="000000"/>
          <w:sz w:val="28"/>
          <w:szCs w:val="28"/>
          <w:lang w:val="en-US"/>
        </w:rPr>
        <w:t>Điều 98. Trách nhiệm của người hành nghề chứng khoán và người được cấp chứng chỉ hành nghề chứng khoán</w:t>
      </w:r>
    </w:p>
    <w:p>
      <w:pPr>
        <w:pStyle w:val="Normal"/>
        <w:spacing w:before="120" w:after="120"/>
        <w:ind w:firstLine="567"/>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1. Người hành nghề chứng khoán chỉ được hành nghề chứng khoán với tư cách đại diện cho công ty chứng khoán hoặc công ty quản lý quỹ đầu tư chứng khoán hoặc chi nhánh công ty chứng khoán và công ty quản lý quỹ nước ngoài tại Việt Nam hoặc công ty đầu tư chứng khoán.</w:t>
      </w:r>
    </w:p>
    <w:p>
      <w:pPr>
        <w:pStyle w:val="Normal"/>
        <w:spacing w:before="120" w:after="120"/>
        <w:ind w:firstLine="567"/>
        <w:jc w:val="both"/>
        <w:rPr>
          <w:rFonts w:ascii="Times New Roman" w:hAnsi="Times New Roman" w:cs="Times New Roman"/>
          <w:color w:themeColor="text1" w:val="000000"/>
          <w:sz w:val="28"/>
          <w:szCs w:val="28"/>
          <w:lang w:val="en-US" w:eastAsia="en-US"/>
        </w:rPr>
      </w:pPr>
      <w:r>
        <w:rPr>
          <w:rFonts w:cs="Times New Roman" w:ascii="Times New Roman" w:hAnsi="Times New Roman"/>
          <w:color w:themeColor="text1" w:val="000000"/>
          <w:sz w:val="28"/>
          <w:szCs w:val="28"/>
          <w:lang w:val="en-US" w:eastAsia="en-US"/>
        </w:rPr>
        <w:t>2. Người hành nghề chứng khoán không được thực hiện các hành vi sau đây:</w:t>
      </w:r>
    </w:p>
    <w:p>
      <w:pPr>
        <w:pStyle w:val="Normal"/>
        <w:spacing w:before="120" w:after="120"/>
        <w:ind w:firstLine="567"/>
        <w:jc w:val="both"/>
        <w:rPr>
          <w:rFonts w:ascii="Times New Roman" w:hAnsi="Times New Roman" w:cs="Times New Roman"/>
          <w:color w:themeColor="text1" w:val="000000"/>
          <w:sz w:val="28"/>
          <w:szCs w:val="28"/>
          <w:lang w:val="en-US" w:eastAsia="en-US"/>
        </w:rPr>
      </w:pPr>
      <w:r>
        <w:rPr>
          <w:rFonts w:cs="Times New Roman" w:ascii="Times New Roman" w:hAnsi="Times New Roman"/>
          <w:color w:themeColor="text1" w:val="000000"/>
          <w:sz w:val="28"/>
          <w:szCs w:val="28"/>
          <w:lang w:val="en-US" w:eastAsia="en-US"/>
        </w:rPr>
        <w:t>a) Mở, quản lý tài khoản giao dịch chứng khoán tại công ty chứng khoán nơi mình không làm việc, trừ trường hợp công ty chứng khoán nơi mình đang làm việc không có nghiệp vụ môi giới chứng khoán;</w:t>
      </w:r>
    </w:p>
    <w:p>
      <w:pPr>
        <w:pStyle w:val="Normal"/>
        <w:spacing w:before="120" w:after="120"/>
        <w:ind w:firstLine="567"/>
        <w:jc w:val="both"/>
        <w:rPr>
          <w:rFonts w:ascii="Times New Roman" w:hAnsi="Times New Roman" w:cs="Times New Roman"/>
          <w:color w:themeColor="text1" w:val="000000"/>
          <w:sz w:val="28"/>
          <w:szCs w:val="28"/>
          <w:lang w:val="en-US" w:eastAsia="en-US"/>
        </w:rPr>
      </w:pPr>
      <w:r>
        <w:rPr>
          <w:rFonts w:cs="Times New Roman" w:ascii="Times New Roman" w:hAnsi="Times New Roman"/>
          <w:color w:themeColor="text1" w:val="000000"/>
          <w:sz w:val="28"/>
          <w:szCs w:val="28"/>
          <w:lang w:val="en-US" w:eastAsia="en-US"/>
        </w:rPr>
        <w:t>b) Thực hiện hành vi vượt quá phạm vi ủy quyền của công ty chứng khoán, công ty quản lý quỹ đầu tư chứng khoán, chi nhánh công ty chứng khoán và công ty quản lý quỹ nước ngoài tại Việt Nam, công ty đầu tư chứng khoán nơi mình đang làm việc.</w:t>
      </w:r>
    </w:p>
    <w:p>
      <w:pPr>
        <w:pStyle w:val="Normal"/>
        <w:spacing w:before="120" w:after="120"/>
        <w:ind w:firstLine="567"/>
        <w:jc w:val="both"/>
        <w:rPr>
          <w:rFonts w:ascii="Times New Roman" w:hAnsi="Times New Roman" w:cs="Times New Roman"/>
          <w:color w:themeColor="text1" w:val="000000"/>
          <w:sz w:val="28"/>
          <w:szCs w:val="28"/>
          <w:lang w:val="en-US" w:eastAsia="en-US"/>
        </w:rPr>
      </w:pPr>
      <w:r>
        <w:rPr>
          <w:rFonts w:cs="Times New Roman" w:ascii="Times New Roman" w:hAnsi="Times New Roman"/>
          <w:color w:themeColor="text1" w:val="000000"/>
          <w:sz w:val="28"/>
          <w:szCs w:val="28"/>
          <w:lang w:val="en-US" w:eastAsia="en-US"/>
        </w:rPr>
        <w:t>3. Người được cấp chứng chỉ hành nghề chứng khoán:</w:t>
      </w:r>
    </w:p>
    <w:p>
      <w:pPr>
        <w:pStyle w:val="Normal"/>
        <w:spacing w:before="120" w:after="120"/>
        <w:ind w:firstLine="567"/>
        <w:jc w:val="both"/>
        <w:rPr>
          <w:rFonts w:ascii="Times New Roman" w:hAnsi="Times New Roman" w:cs="Times New Roman"/>
          <w:color w:themeColor="text1" w:val="000000"/>
          <w:sz w:val="28"/>
          <w:szCs w:val="28"/>
          <w:lang w:val="en-US" w:eastAsia="en-US"/>
        </w:rPr>
      </w:pPr>
      <w:r>
        <w:rPr>
          <w:rFonts w:cs="Times New Roman" w:ascii="Times New Roman" w:hAnsi="Times New Roman"/>
          <w:color w:themeColor="text1" w:val="000000"/>
          <w:sz w:val="28"/>
          <w:szCs w:val="28"/>
          <w:lang w:val="en-US" w:eastAsia="en-US"/>
        </w:rPr>
        <w:t>a) Không được đồng thời làm việc cho từ 02 tổ chức sử dụng người được cấp chứng chỉ hành nghề chứng khoán trở lên;</w:t>
      </w:r>
    </w:p>
    <w:p>
      <w:pPr>
        <w:pStyle w:val="Normal"/>
        <w:spacing w:before="120" w:after="120"/>
        <w:ind w:firstLine="567"/>
        <w:jc w:val="both"/>
        <w:rPr>
          <w:rFonts w:ascii="Times New Roman" w:hAnsi="Times New Roman" w:cs="Times New Roman"/>
          <w:color w:themeColor="text1" w:val="000000"/>
          <w:sz w:val="28"/>
          <w:szCs w:val="28"/>
          <w:lang w:val="en-US" w:eastAsia="en-US"/>
        </w:rPr>
      </w:pPr>
      <w:r>
        <w:rPr>
          <w:rFonts w:cs="Times New Roman" w:ascii="Times New Roman" w:hAnsi="Times New Roman"/>
          <w:color w:themeColor="text1" w:val="000000"/>
          <w:sz w:val="28"/>
          <w:szCs w:val="28"/>
          <w:lang w:val="en-US" w:eastAsia="en-US"/>
        </w:rPr>
        <w:t>b) Phải tham gia các khóa tập huấn hằng năm theo quy định của Bộ trưởng Bộ Tài chính.</w:t>
      </w:r>
    </w:p>
    <w:p>
      <w:pPr>
        <w:pStyle w:val="Normal"/>
        <w:spacing w:before="120" w:after="120"/>
        <w:ind w:firstLine="567"/>
        <w:jc w:val="both"/>
        <w:rPr>
          <w:rFonts w:ascii="Times New Roman" w:hAnsi="Times New Roman" w:cs="Times New Roman"/>
          <w:color w:themeColor="text1" w:val="000000"/>
          <w:sz w:val="28"/>
          <w:szCs w:val="28"/>
          <w:lang w:val="en-US" w:eastAsia="en-US"/>
        </w:rPr>
      </w:pPr>
      <w:r>
        <w:rPr>
          <w:rFonts w:cs="Times New Roman" w:ascii="Times New Roman" w:hAnsi="Times New Roman"/>
          <w:color w:themeColor="text1" w:val="000000"/>
          <w:sz w:val="28"/>
          <w:szCs w:val="28"/>
          <w:lang w:val="en-US" w:eastAsia="en-US"/>
        </w:rPr>
        <w:t>4. Công ty chứng khoán, công ty quản lý quỹ đầu tư chứng khoán, chi nhánh công ty chứng khoán và công ty quản lý quỹ nước ngoài tại Việt Nam, công ty đầu tư chứng khoán chịu trách nhiệm về hoạt động nghiệp vụ của người hành nghề chứng khoán.”</w:t>
      </w:r>
    </w:p>
    <w:p>
      <w:pPr>
        <w:pStyle w:val="ListParagraph"/>
        <w:numPr>
          <w:ilvl w:val="0"/>
          <w:numId w:val="1"/>
        </w:numPr>
        <w:spacing w:before="120" w:after="120"/>
        <w:ind w:hanging="426" w:start="993"/>
        <w:contextualSpacing/>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Sửa đổi, bổ sung khoản 3 Điều 102 như sau:</w:t>
      </w:r>
    </w:p>
    <w:p>
      <w:pPr>
        <w:pStyle w:val="Normal"/>
        <w:spacing w:before="120" w:after="120"/>
        <w:ind w:firstLine="567"/>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w:t>
      </w:r>
      <w:r>
        <w:rPr>
          <w:rFonts w:cs="Times New Roman" w:ascii="Times New Roman" w:hAnsi="Times New Roman"/>
          <w:color w:themeColor="text1" w:val="000000"/>
          <w:sz w:val="28"/>
          <w:szCs w:val="28"/>
          <w:lang w:val="en-US"/>
        </w:rPr>
        <w:t xml:space="preserve">3. Đại hội nhà đầu tư quỹ đầu tư chứng khoán được triệu tập hằng năm hoặc bất thường. Đại hội nhà đầu tư quỹ đầu tư chứng khoán được ủy quyền cho Ban đại diện quỹ quyết định các vấn đề quy định tại điểm g khoản 2 Điều này. Việc ủy quyền của Đại hội nhà đầu tư quỹ đầu tư chứng khoán cho Ban đại diện quỹ phải được quy định tại Điều lệ quỹ đầu tư chứng khoán.” </w:t>
      </w:r>
    </w:p>
    <w:p>
      <w:pPr>
        <w:pStyle w:val="ListParagraph"/>
        <w:numPr>
          <w:ilvl w:val="0"/>
          <w:numId w:val="1"/>
        </w:numPr>
        <w:spacing w:before="120" w:after="120"/>
        <w:ind w:hanging="426" w:start="993"/>
        <w:contextualSpacing/>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Sửa đổi, bổ sung điểm b khoản 1 Điều 110 như sau:</w:t>
      </w:r>
    </w:p>
    <w:p>
      <w:pPr>
        <w:pStyle w:val="Normal"/>
        <w:spacing w:before="120" w:after="120"/>
        <w:ind w:firstLine="567"/>
        <w:jc w:val="both"/>
        <w:rPr>
          <w:rFonts w:ascii="Times New Roman" w:hAnsi="Times New Roman" w:cs="Times New Roman"/>
          <w:color w:themeColor="text1" w:val="000000"/>
          <w:sz w:val="28"/>
          <w:szCs w:val="28"/>
          <w:lang w:val="en-US" w:eastAsia="en-US"/>
        </w:rPr>
      </w:pPr>
      <w:r>
        <w:rPr>
          <w:rFonts w:cs="Times New Roman" w:ascii="Times New Roman" w:hAnsi="Times New Roman"/>
          <w:color w:themeColor="text1" w:val="000000"/>
          <w:sz w:val="28"/>
          <w:szCs w:val="28"/>
          <w:lang w:val="en-US" w:eastAsia="en-US"/>
        </w:rPr>
        <w:t>“</w:t>
      </w:r>
      <w:r>
        <w:rPr>
          <w:rFonts w:cs="Times New Roman" w:ascii="Times New Roman" w:hAnsi="Times New Roman"/>
          <w:color w:themeColor="text1" w:val="000000"/>
          <w:sz w:val="28"/>
          <w:szCs w:val="28"/>
          <w:lang w:val="en-US" w:eastAsia="en-US"/>
        </w:rPr>
        <w:t xml:space="preserve">b) Đầu tư vào chứng khoán của 01 tổ chức phát hành quá 10% tổng giá trị chứng khoán đang lưu hành của tổ chức đó, trừ trái phiếu Chính phủ, chứng khoán cơ cấu thuộc chỉ số tham chiếu của quỹ hoán đổi danh mục do quỹ hoán đổi danh mục đó đầu tư;” </w:t>
      </w:r>
    </w:p>
    <w:p>
      <w:pPr>
        <w:pStyle w:val="ListParagraph"/>
        <w:numPr>
          <w:ilvl w:val="0"/>
          <w:numId w:val="1"/>
        </w:numPr>
        <w:spacing w:before="120" w:after="120"/>
        <w:ind w:hanging="426" w:start="993"/>
        <w:contextualSpacing/>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Sửa đổi, bổ sung khoản 1 Điều 116 như sau:</w:t>
      </w:r>
    </w:p>
    <w:p>
      <w:pPr>
        <w:pStyle w:val="Normal"/>
        <w:spacing w:before="120" w:after="120"/>
        <w:ind w:firstLine="567"/>
        <w:jc w:val="both"/>
        <w:rPr>
          <w:rFonts w:ascii="Times New Roman" w:hAnsi="Times New Roman" w:cs="Times New Roman"/>
          <w:color w:themeColor="text1" w:val="000000"/>
          <w:sz w:val="28"/>
          <w:szCs w:val="28"/>
          <w:lang w:val="en-US" w:eastAsia="en-US"/>
        </w:rPr>
      </w:pPr>
      <w:r>
        <w:rPr>
          <w:rFonts w:cs="Times New Roman" w:ascii="Times New Roman" w:hAnsi="Times New Roman"/>
          <w:color w:themeColor="text1" w:val="000000"/>
          <w:sz w:val="28"/>
          <w:szCs w:val="28"/>
          <w:lang w:val="en-US"/>
        </w:rPr>
        <w:t>“</w:t>
      </w:r>
      <w:r>
        <w:rPr>
          <w:rFonts w:cs="Times New Roman" w:ascii="Times New Roman" w:hAnsi="Times New Roman"/>
          <w:color w:themeColor="text1" w:val="000000"/>
          <w:sz w:val="28"/>
          <w:szCs w:val="28"/>
          <w:lang w:val="en-US"/>
        </w:rPr>
        <w:t>1. Ngân hàng giám sát là ngân hàng thương mại, chi nhánh ngân hàng nước ngoài</w:t>
      </w:r>
      <w:r>
        <w:rPr>
          <w:rFonts w:cs="Times New Roman" w:ascii="Times New Roman" w:hAnsi="Times New Roman"/>
          <w:color w:themeColor="text1" w:val="000000"/>
          <w:sz w:val="28"/>
          <w:szCs w:val="28"/>
          <w:lang w:val="en-US" w:eastAsia="en-US"/>
        </w:rPr>
        <w:t xml:space="preserve"> có Giấy chứng nhận đăng ký hoạt động lưu ký chứng khoán do Ủy ban Chứng khoán Nhà nước cấp</w:t>
      </w:r>
      <w:r>
        <w:rPr>
          <w:rFonts w:cs="Times New Roman" w:ascii="Times New Roman" w:hAnsi="Times New Roman"/>
          <w:color w:themeColor="text1" w:val="000000"/>
          <w:sz w:val="28"/>
          <w:szCs w:val="28"/>
          <w:u w:val="single"/>
          <w:lang w:val="en-US" w:eastAsia="en-US"/>
        </w:rPr>
        <w:t>,</w:t>
      </w:r>
      <w:r>
        <w:rPr>
          <w:rFonts w:cs="Times New Roman" w:ascii="Times New Roman" w:hAnsi="Times New Roman"/>
          <w:color w:themeColor="text1" w:val="000000"/>
          <w:sz w:val="28"/>
          <w:szCs w:val="28"/>
          <w:lang w:val="en-US" w:eastAsia="en-US"/>
        </w:rPr>
        <w:t xml:space="preserve"> thực hiện các dịch vụ lưu ký và giám sát việc quản lý quỹ đại chúng, công ty đầu tư chứng khoán.”</w:t>
      </w:r>
    </w:p>
    <w:p>
      <w:pPr>
        <w:pStyle w:val="ListParagraph"/>
        <w:numPr>
          <w:ilvl w:val="0"/>
          <w:numId w:val="1"/>
        </w:numPr>
        <w:spacing w:before="120" w:after="120"/>
        <w:ind w:hanging="426" w:start="993"/>
        <w:contextualSpacing/>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Sửa đổi, bổ sung khoản 1 và khoản 3 của Điều 129 như sau:</w:t>
      </w:r>
    </w:p>
    <w:p>
      <w:pPr>
        <w:pStyle w:val="Normal"/>
        <w:spacing w:before="120" w:after="120"/>
        <w:ind w:firstLine="567"/>
        <w:jc w:val="both"/>
        <w:rPr>
          <w:rFonts w:ascii="Times New Roman" w:hAnsi="Times New Roman" w:cs="Times New Roman"/>
          <w:color w:themeColor="text1" w:val="000000"/>
          <w:sz w:val="28"/>
          <w:szCs w:val="28"/>
          <w:lang w:val="en-US" w:eastAsia="en-US"/>
        </w:rPr>
      </w:pPr>
      <w:r>
        <w:rPr>
          <w:rFonts w:cs="Times New Roman" w:ascii="Times New Roman" w:hAnsi="Times New Roman"/>
          <w:color w:themeColor="text1" w:val="000000"/>
          <w:sz w:val="28"/>
          <w:szCs w:val="28"/>
          <w:lang w:val="en-US" w:eastAsia="en-US"/>
        </w:rPr>
        <w:t>a) Sửa đổi, bổ sung khoản 1 như sau:</w:t>
      </w:r>
    </w:p>
    <w:p>
      <w:pPr>
        <w:pStyle w:val="Normal"/>
        <w:spacing w:before="120" w:after="120"/>
        <w:ind w:firstLine="567"/>
        <w:jc w:val="both"/>
        <w:rPr>
          <w:rFonts w:ascii="Times New Roman" w:hAnsi="Times New Roman" w:cs="Times New Roman"/>
          <w:color w:themeColor="text1" w:val="000000"/>
          <w:sz w:val="28"/>
          <w:szCs w:val="28"/>
          <w:lang w:val="en-US" w:eastAsia="en-US"/>
        </w:rPr>
      </w:pPr>
      <w:r>
        <w:rPr>
          <w:rFonts w:cs="Times New Roman" w:ascii="Times New Roman" w:hAnsi="Times New Roman"/>
          <w:color w:themeColor="text1" w:val="000000"/>
          <w:sz w:val="28"/>
          <w:szCs w:val="28"/>
          <w:lang w:val="en-US" w:eastAsia="en-US"/>
        </w:rPr>
        <w:t>“</w:t>
      </w:r>
      <w:r>
        <w:rPr>
          <w:rFonts w:cs="Times New Roman" w:ascii="Times New Roman" w:hAnsi="Times New Roman"/>
          <w:color w:themeColor="text1" w:val="000000"/>
          <w:sz w:val="28"/>
          <w:szCs w:val="28"/>
          <w:lang w:val="en-US" w:eastAsia="en-US"/>
        </w:rPr>
        <w:t>1. Thanh tra Chứng khoán Nhà nước là cơ quan thanh tra về chứng khoán và thị trường chứng khoán.”</w:t>
      </w:r>
    </w:p>
    <w:p>
      <w:pPr>
        <w:pStyle w:val="Normal"/>
        <w:spacing w:before="120" w:after="120"/>
        <w:ind w:firstLine="567"/>
        <w:jc w:val="both"/>
        <w:rPr>
          <w:rFonts w:ascii="Times New Roman" w:hAnsi="Times New Roman" w:cs="Times New Roman"/>
          <w:color w:themeColor="text1" w:val="000000"/>
          <w:sz w:val="28"/>
          <w:szCs w:val="28"/>
          <w:lang w:val="en-US" w:eastAsia="en-US"/>
        </w:rPr>
      </w:pPr>
      <w:r>
        <w:rPr>
          <w:rFonts w:cs="Times New Roman" w:ascii="Times New Roman" w:hAnsi="Times New Roman"/>
          <w:color w:themeColor="text1" w:val="000000"/>
          <w:sz w:val="28"/>
          <w:szCs w:val="28"/>
          <w:lang w:val="en-US" w:eastAsia="en-US"/>
        </w:rPr>
        <w:t>b) Sửa đổi, bổ sung khoản 3 như sau:</w:t>
      </w:r>
    </w:p>
    <w:p>
      <w:pPr>
        <w:pStyle w:val="Normal"/>
        <w:spacing w:before="120" w:after="120"/>
        <w:ind w:firstLine="567"/>
        <w:jc w:val="both"/>
        <w:rPr>
          <w:rFonts w:ascii="Times New Roman" w:hAnsi="Times New Roman" w:cs="Times New Roman"/>
          <w:color w:themeColor="text1" w:val="000000"/>
          <w:sz w:val="28"/>
          <w:szCs w:val="28"/>
          <w:lang w:val="en-US" w:eastAsia="en-US"/>
        </w:rPr>
      </w:pPr>
      <w:r>
        <w:rPr>
          <w:rFonts w:cs="Times New Roman" w:ascii="Times New Roman" w:hAnsi="Times New Roman"/>
          <w:color w:themeColor="text1" w:val="000000"/>
          <w:sz w:val="28"/>
          <w:szCs w:val="28"/>
          <w:lang w:val="en-US" w:eastAsia="en-US"/>
        </w:rPr>
        <w:t>“</w:t>
      </w:r>
      <w:r>
        <w:rPr>
          <w:rFonts w:cs="Times New Roman" w:ascii="Times New Roman" w:hAnsi="Times New Roman"/>
          <w:color w:themeColor="text1" w:val="000000"/>
          <w:sz w:val="28"/>
          <w:szCs w:val="28"/>
          <w:lang w:val="en-US" w:eastAsia="en-US"/>
        </w:rPr>
        <w:t>3. Thanh tra Chứng khoán Nhà nước chịu sự chỉ đạo, điều hành của Chủ tịch Ủy ban Chứng khoán Nhà nước và chịu sự chỉ đạo về công tác thanh tra, hướng dẫn về nghiệp vụ của Thanh tra Chính phủ; hoạt động theo quy định của pháp luật về thanh tra và quy định của Luật này.”</w:t>
      </w:r>
    </w:p>
    <w:p>
      <w:pPr>
        <w:pStyle w:val="ListParagraph"/>
        <w:numPr>
          <w:ilvl w:val="0"/>
          <w:numId w:val="1"/>
        </w:numPr>
        <w:spacing w:before="120" w:after="120"/>
        <w:ind w:firstLine="567" w:start="0"/>
        <w:contextualSpacing/>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 xml:space="preserve">Thay thế cụm từ “Thanh tra chứng khoán” bằng cụm từ “Thanh tra Chứng khoán Nhà nước” tại tên Điều 129, khoản 2 và khoản 4 Điều 129; </w:t>
      </w:r>
      <w:r>
        <w:rPr>
          <w:rFonts w:cs="Times New Roman" w:ascii="Times New Roman" w:hAnsi="Times New Roman"/>
          <w:bCs/>
          <w:iCs/>
          <w:color w:themeColor="text1" w:val="000000"/>
          <w:sz w:val="28"/>
          <w:szCs w:val="28"/>
          <w:lang w:val="en-US"/>
        </w:rPr>
        <w:t xml:space="preserve">thay thế cụm từ “Ban kiểm toán nội bộ” tại điểm a khoản 45 Điều 4 bằng cụm từ “Ủy ban kiểm toán”; </w:t>
      </w:r>
      <w:r>
        <w:rPr>
          <w:rFonts w:cs="Times New Roman" w:ascii="Times New Roman" w:hAnsi="Times New Roman"/>
          <w:color w:themeColor="text1" w:val="000000"/>
          <w:sz w:val="28"/>
          <w:szCs w:val="28"/>
          <w:lang w:val="en-US"/>
        </w:rPr>
        <w:t>thay thế cụm từ “Giấy đăng ký” tại điểm a khoản 1, điểm a khoản 2, điểm a khoản 3, điểm a khoản 4, điểm a khoản 5 Điều 18 và điểm a khoản 1 Điều 33 bằng cụm từ “Văn bản đăng ký”; thay thế cụm từ “Giấy đề nghị” tại điểm a khoản 1 Điều 58 bằng cụm từ “Văn bản đăng ký”.</w:t>
      </w:r>
    </w:p>
    <w:p>
      <w:pPr>
        <w:pStyle w:val="ListParagraph"/>
        <w:numPr>
          <w:ilvl w:val="0"/>
          <w:numId w:val="1"/>
        </w:numPr>
        <w:spacing w:before="120" w:after="120"/>
        <w:ind w:firstLine="567" w:start="0"/>
        <w:contextualSpacing w:val="false"/>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Thay thế các cụm từ “Sở giao dịch chứng khoán Việt Nam”, “Sở giao dịch chứng khoán Việt Nam và công ty con” bằng cụm từ “Sở giao dịch chứng khoán” tại điểm d khoản 1 Điều 7, điểm d khoản 1 Điều 9, điểm c khoản 1 Điều 36, điểm c khoản 1 và khoản 4 Điều 37, khoản 4 Điều 38, Điều 42, tên Điều 43, khoản 1 và khoản 3 Điều 43, Điều 44, Điều 45, Điều 46, Điều 47, Điều 49, khoản 1 và khoản 2 Điều 50, điểm i khoản 2 Điều 55, điểm đ khoản 1 Điều 118, khoản 3 Điều 120, khoản 4 Điều 123, khoản 3 Điều 124, khoản 3 Điều 125, tên Điều 126, khoản 1 Điều 126.</w:t>
      </w:r>
    </w:p>
    <w:p>
      <w:pPr>
        <w:pStyle w:val="ListParagraph"/>
        <w:numPr>
          <w:ilvl w:val="0"/>
          <w:numId w:val="1"/>
        </w:numPr>
        <w:spacing w:before="120" w:after="120"/>
        <w:ind w:firstLine="567" w:start="0"/>
        <w:contextualSpacing/>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Bãi bỏ điểm d khoản 1 Điều 15, điểm d khoản 2 Điều 18, điểm c, d và đ khoản 1 Điều 58, điểm a khoản 2 Điều 69, điểm a khoản 2 và khoản 6 Điều 74, khoản 6 Điều 75, khoản 4 Điều 97.</w:t>
      </w:r>
    </w:p>
    <w:p>
      <w:pPr>
        <w:pStyle w:val="Normal"/>
        <w:spacing w:before="120" w:after="120"/>
        <w:ind w:firstLine="720"/>
        <w:jc w:val="both"/>
        <w:rPr>
          <w:b/>
          <w:bCs/>
          <w:color w:themeColor="text1" w:val="000000"/>
          <w:lang w:val="en-US"/>
        </w:rPr>
      </w:pPr>
      <w:r>
        <w:rPr>
          <w:rFonts w:cs="Times New Roman" w:ascii="Times New Roman" w:hAnsi="Times New Roman"/>
          <w:b/>
          <w:bCs/>
          <w:color w:themeColor="text1" w:val="000000"/>
          <w:sz w:val="28"/>
          <w:szCs w:val="28"/>
          <w:lang w:val="en-US"/>
        </w:rPr>
        <w:t>Điều 2. Hiệu lực thi hành</w:t>
      </w:r>
    </w:p>
    <w:p>
      <w:pPr>
        <w:pStyle w:val="Normal"/>
        <w:spacing w:before="120" w:after="120"/>
        <w:ind w:firstLine="720"/>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Luật này có hiệu lực thi hành từ ngày 01 tháng 3 năm 2027.</w:t>
      </w:r>
    </w:p>
    <w:p>
      <w:pPr>
        <w:pStyle w:val="Normal"/>
        <w:spacing w:before="120" w:after="120"/>
        <w:ind w:firstLine="720"/>
        <w:jc w:val="both"/>
        <w:rPr>
          <w:rFonts w:ascii="Times New Roman" w:hAnsi="Times New Roman" w:cs="Times New Roman"/>
          <w:b/>
          <w:bCs/>
          <w:color w:themeColor="text1" w:val="000000"/>
          <w:sz w:val="28"/>
          <w:szCs w:val="28"/>
          <w:lang w:val="en-US"/>
        </w:rPr>
      </w:pPr>
      <w:r>
        <w:rPr>
          <w:rFonts w:cs="Times New Roman" w:ascii="Times New Roman" w:hAnsi="Times New Roman"/>
          <w:b/>
          <w:bCs/>
          <w:color w:themeColor="text1" w:val="000000"/>
          <w:sz w:val="28"/>
          <w:szCs w:val="28"/>
          <w:lang w:val="en-US"/>
        </w:rPr>
        <w:t>Điều 3. Điều khoản chuyển tiếp</w:t>
      </w:r>
    </w:p>
    <w:p>
      <w:pPr>
        <w:pStyle w:val="Normal"/>
        <w:spacing w:before="120" w:after="120"/>
        <w:ind w:firstLine="720"/>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 xml:space="preserve">1. Công ty chứng khoán, công ty quản lý quỹ đầu tư chứng khoán đã có người đại diện theo pháp luật trước ngày Luật này có hiệu lực thi hành mà chưa đáp ứng quy định về điều kiện có tối thiểu 01 người đại diện theo pháp luật tại khoản 5 Điều 74 và khoản 5 Điều 75 của Luật Chứng khoán </w:t>
      </w:r>
      <w:r>
        <w:rPr>
          <w:rFonts w:cs="Times New Roman" w:ascii="Times New Roman" w:hAnsi="Times New Roman"/>
          <w:color w:themeColor="text1" w:val="000000"/>
          <w:sz w:val="28"/>
          <w:szCs w:val="28"/>
        </w:rPr>
        <w:t>số 54/2019/QH14</w:t>
      </w:r>
      <w:r>
        <w:rPr>
          <w:rFonts w:cs="Times New Roman" w:ascii="Times New Roman" w:hAnsi="Times New Roman"/>
          <w:color w:themeColor="text1" w:val="000000"/>
          <w:sz w:val="28"/>
          <w:szCs w:val="28"/>
          <w:lang w:val="en-US"/>
        </w:rPr>
        <w:t xml:space="preserve"> được sửa đổi, bổ sung tại khoản 13 và khoản 14 Điều 1 của Luật này, thì không phải thay đổi người đại diện theo pháp luật để đáp ứng điều kiện này.</w:t>
      </w:r>
    </w:p>
    <w:p>
      <w:pPr>
        <w:pStyle w:val="Normal"/>
        <w:spacing w:before="120" w:after="120"/>
        <w:ind w:firstLine="720"/>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Kể từ ngày Luật này có hiệu lực thi hành, trường hợp công ty chứng khoán, công ty quản lý quỹ đầu tư chứng khoán thay đổi người đại diện theo pháp luật thì phải bảo đảm có tối thiểu 01 người đại diện theo pháp luật đáp ứng các tiêu chuẩn quy định tại khoản 5 Điều 74 hoặc khoản 5 Điều 75 của Luật Chứng khoán số 54/2019/QH14 được sửa đổi, bổ sung tại khoản 13 và khoản 14 Điều 1 của Luật này.</w:t>
      </w:r>
    </w:p>
    <w:p>
      <w:pPr>
        <w:pStyle w:val="Normal"/>
        <w:spacing w:before="120" w:after="120"/>
        <w:ind w:firstLine="720"/>
        <w:jc w:val="both"/>
        <w:rPr>
          <w:rFonts w:ascii="Times New Roman" w:hAnsi="Times New Roman" w:cs="Times New Roman"/>
          <w:b/>
          <w:bCs/>
          <w:i/>
          <w:iCs/>
          <w:color w:themeColor="text1" w:val="000000"/>
          <w:sz w:val="28"/>
          <w:szCs w:val="28"/>
          <w:u w:val="single"/>
          <w:lang w:val="en-US"/>
        </w:rPr>
      </w:pPr>
      <w:r>
        <w:rPr>
          <w:rFonts w:cs="Times New Roman" w:ascii="Times New Roman" w:hAnsi="Times New Roman"/>
          <w:color w:themeColor="text1" w:val="000000"/>
          <w:sz w:val="28"/>
          <w:szCs w:val="28"/>
          <w:lang w:val="en-US"/>
        </w:rPr>
        <w:t xml:space="preserve">2. Công ty chứng khoán đã ký hợp đồng cung cấp dịch vụ làm đại diện người sở hữu trái phiếu trước ngày Luật này có hiệu lực </w:t>
      </w:r>
      <w:r>
        <w:rPr>
          <w:rFonts w:cs="Times New Roman" w:ascii="Times New Roman" w:hAnsi="Times New Roman"/>
          <w:color w:themeColor="text1" w:val="000000"/>
          <w:sz w:val="28"/>
          <w:szCs w:val="28"/>
        </w:rPr>
        <w:t xml:space="preserve">thi hành </w:t>
      </w:r>
      <w:r>
        <w:rPr>
          <w:rFonts w:cs="Times New Roman" w:ascii="Times New Roman" w:hAnsi="Times New Roman"/>
          <w:color w:themeColor="text1" w:val="000000"/>
          <w:sz w:val="28"/>
          <w:szCs w:val="28"/>
          <w:lang w:val="en-US"/>
        </w:rPr>
        <w:t xml:space="preserve">nhưng không được cấp phép thực hiện nghiệp vụ bảo lãnh phát hành </w:t>
      </w:r>
      <w:r>
        <w:rPr>
          <w:rFonts w:cs="Times New Roman" w:ascii="Times New Roman" w:hAnsi="Times New Roman"/>
          <w:color w:themeColor="text1" w:val="000000"/>
          <w:sz w:val="28"/>
          <w:szCs w:val="28"/>
        </w:rPr>
        <w:t xml:space="preserve">chứng khoán </w:t>
      </w:r>
      <w:r>
        <w:rPr>
          <w:rFonts w:cs="Times New Roman" w:ascii="Times New Roman" w:hAnsi="Times New Roman"/>
          <w:color w:themeColor="text1" w:val="000000"/>
          <w:sz w:val="28"/>
          <w:szCs w:val="28"/>
          <w:lang w:val="en-US"/>
        </w:rPr>
        <w:t>thì được tiếp tục thực hiện hợp đồng đã ký.</w:t>
      </w:r>
    </w:p>
    <w:p>
      <w:pPr>
        <w:pStyle w:val="Normal"/>
        <w:spacing w:before="120" w:after="120"/>
        <w:ind w:firstLine="720"/>
        <w:jc w:val="both"/>
        <w:rPr>
          <w:rFonts w:ascii="Times New Roman" w:hAnsi="Times New Roman" w:cs="Times New Roman"/>
          <w:bCs/>
          <w:iCs/>
          <w:color w:themeColor="text1" w:val="000000"/>
          <w:sz w:val="28"/>
          <w:szCs w:val="28"/>
          <w:lang w:val="en-US"/>
        </w:rPr>
      </w:pPr>
      <w:r>
        <w:rPr>
          <w:rFonts w:cs="Times New Roman" w:ascii="Times New Roman" w:hAnsi="Times New Roman"/>
          <w:bCs/>
          <w:iCs/>
          <w:color w:themeColor="text1" w:val="000000"/>
          <w:sz w:val="28"/>
          <w:szCs w:val="28"/>
          <w:lang w:val="en-US"/>
        </w:rPr>
        <w:t xml:space="preserve">3. Công ty chứng khoán đã ký hợp đồng cung cấp dịch vụ đại lý quản lý tài sản bảo đảm trước ngày Luật này có hiệu lực thi hành thì được tiếp tục thực hiện hợp đồng đã ký. </w:t>
      </w:r>
    </w:p>
    <w:p>
      <w:pPr>
        <w:pStyle w:val="Normal"/>
        <w:spacing w:before="120" w:after="120"/>
        <w:ind w:firstLine="720"/>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 xml:space="preserve">4. Đối với các trường hợp thu hồi chứng chỉ hành nghề chứng khoán đang được cơ quan có thẩm quyền xem xét, xử lý nhưng chưa có quyết định thu hồi tính đến trước ngày Luật này có hiệu lực thi hành thì tiếp tục áp dụng quy định của Luật Chứng khoán số 54/2019/QH14 </w:t>
      </w:r>
      <w:r>
        <w:rPr>
          <w:rFonts w:ascii="Times New Roman" w:hAnsi="Times New Roman"/>
          <w:color w:themeColor="text1" w:val="000000"/>
          <w:sz w:val="28"/>
          <w:lang w:val="en-US"/>
        </w:rPr>
        <w:t>được sửa đổi, bổ sung bởi Luật số 56/2024/QH15</w:t>
      </w:r>
      <w:r>
        <w:rPr>
          <w:rFonts w:cs="Times New Roman" w:ascii="Times New Roman" w:hAnsi="Times New Roman"/>
          <w:color w:themeColor="text1" w:val="000000"/>
          <w:sz w:val="28"/>
          <w:szCs w:val="28"/>
          <w:lang w:val="en-US"/>
        </w:rPr>
        <w:t>.</w:t>
      </w:r>
    </w:p>
    <w:p>
      <w:pPr>
        <w:pStyle w:val="Normal"/>
        <w:spacing w:before="120" w:after="120"/>
        <w:ind w:firstLine="720"/>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 xml:space="preserve">5. Kể từ ngày Luật này có hiệu lực thi hành, người đã bị thu hồi chứng chỉ hành nghề chứng khoán do vi phạm quy định tại điểm b Khoản 1 Điều 80 Luật Chứng khoán số 70/2006/QH11, điểm b khoản 3 Điều 97 Luật Chứng khoán số 54/2019/QH14 được đề nghị cấp lại chứng chỉ hành nghề chứng khoán khi đáp ứng đủ điều kiện quy định tại khoản 2 Điều 97 </w:t>
      </w:r>
      <w:r>
        <w:rPr>
          <w:rFonts w:cs="Times New Roman" w:ascii="Times New Roman" w:hAnsi="Times New Roman"/>
          <w:color w:themeColor="text1" w:val="000000"/>
          <w:sz w:val="28"/>
          <w:szCs w:val="28"/>
        </w:rPr>
        <w:t xml:space="preserve">Luật Chứng khoán số 54/2019/QH14 </w:t>
      </w:r>
      <w:r>
        <w:rPr>
          <w:rFonts w:cs="Times New Roman" w:ascii="Times New Roman" w:hAnsi="Times New Roman"/>
          <w:color w:themeColor="text1" w:val="000000"/>
          <w:sz w:val="28"/>
          <w:szCs w:val="28"/>
          <w:lang w:val="en-US"/>
        </w:rPr>
        <w:t xml:space="preserve">được sửa đổi, bổ sung tại khoản 19 Điều 1 </w:t>
      </w:r>
      <w:r>
        <w:rPr>
          <w:rFonts w:cs="Times New Roman" w:ascii="Times New Roman" w:hAnsi="Times New Roman"/>
          <w:color w:themeColor="text1" w:val="000000"/>
          <w:sz w:val="28"/>
          <w:szCs w:val="28"/>
        </w:rPr>
        <w:t>của Luật này</w:t>
      </w:r>
      <w:r>
        <w:rPr>
          <w:rFonts w:cs="Times New Roman" w:ascii="Times New Roman" w:hAnsi="Times New Roman"/>
          <w:color w:themeColor="text1" w:val="000000"/>
          <w:sz w:val="28"/>
          <w:szCs w:val="28"/>
          <w:lang w:val="en-US"/>
        </w:rPr>
        <w:t>.</w:t>
      </w:r>
    </w:p>
    <w:p>
      <w:pPr>
        <w:pStyle w:val="Normal"/>
        <w:spacing w:before="120" w:after="120"/>
        <w:ind w:firstLine="720"/>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6. Tổ chức đã nộp hồ sơ đăng ký hoạt động lưu ký chứng khoán hợp lệ đến Ủy ban Chứng khoán Nhà nước trước ngày Luật này có hiệu lực thi hành thì tiếp tục thực hiện theo quy định của Luật Chứng khoán số 54/2019/QH14 được sửa đổi, bổ sung bởi Luật số 56/2024/QH15.</w:t>
      </w:r>
    </w:p>
    <w:p>
      <w:pPr>
        <w:pStyle w:val="Normal"/>
        <w:spacing w:before="120" w:after="120"/>
        <w:ind w:firstLine="720"/>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7. Trong thời hạn 01 năm kể từ ngày Luật này có hiệu lực thi hành, Thủ tướng Chính phủ ban hành quyết định theo quy định tại khoản 8 Điều 1 của Luật này.</w:t>
      </w:r>
    </w:p>
    <w:p>
      <w:pPr>
        <w:pStyle w:val="Normal"/>
        <w:spacing w:before="120" w:after="120"/>
        <w:ind w:firstLine="720"/>
        <w:jc w:val="both"/>
        <w:rPr>
          <w:rFonts w:ascii="Times New Roman" w:hAnsi="Times New Roman" w:cs="Times New Roman"/>
          <w:color w:themeColor="text1" w:val="000000"/>
          <w:sz w:val="28"/>
          <w:szCs w:val="28"/>
          <w:lang w:val="en-US"/>
        </w:rPr>
      </w:pPr>
      <w:r>
        <w:rPr>
          <w:rFonts w:cs="Times New Roman" w:ascii="Times New Roman" w:hAnsi="Times New Roman"/>
          <w:color w:themeColor="text1" w:val="000000"/>
          <w:sz w:val="28"/>
          <w:szCs w:val="28"/>
          <w:lang w:val="en-US"/>
        </w:rPr>
        <w:t>8. Sở giao dịch chứng khoán Việt Nam và công ty con đã thành lập và hoạt động trước ngày Luật này có hiệu lực thi hành tiếp tục tổ chức và hoạt động theo quy định của Luật Chứng khoán số 54/2019/QH14 được sửa đổi, bổ sung bởi Luật số 56/2024/QH15 cho đến khi quyết định của Thủ tướng Chính phủ theo quy định tại khoản 7 Điều này có hiệu lực thi hành.</w:t>
      </w:r>
    </w:p>
    <w:p>
      <w:pPr>
        <w:pStyle w:val="Normal"/>
        <w:spacing w:before="120" w:after="120"/>
        <w:ind w:firstLine="426"/>
        <w:jc w:val="both"/>
        <w:rPr>
          <w:rFonts w:ascii="Times New Roman" w:hAnsi="Times New Roman" w:cs="Times New Roman"/>
          <w:color w:themeColor="text1" w:val="000000"/>
          <w:sz w:val="28"/>
          <w:szCs w:val="28"/>
          <w:lang w:val="en-US"/>
        </w:rPr>
      </w:pPr>
      <w:r>
        <w:rPr>
          <w:rFonts w:cs="Times New Roman" w:ascii="Times New Roman" w:hAnsi="Times New Roman"/>
          <w:i/>
          <w:iCs/>
          <w:color w:themeColor="text1" w:val="000000"/>
          <w:sz w:val="28"/>
          <w:szCs w:val="28"/>
          <w:lang w:val="en-US"/>
        </w:rPr>
        <w:t>Lu</w:t>
      </w:r>
      <w:r>
        <w:rPr>
          <w:rFonts w:cs="Times New Roman" w:ascii="Times New Roman" w:hAnsi="Times New Roman"/>
          <w:i/>
          <w:iCs/>
          <w:color w:themeColor="text1" w:val="000000"/>
          <w:sz w:val="28"/>
          <w:szCs w:val="28"/>
        </w:rPr>
        <w:t>ật này</w:t>
      </w:r>
      <w:r>
        <w:rPr>
          <w:rFonts w:cs="Times New Roman" w:ascii="Times New Roman" w:hAnsi="Times New Roman"/>
          <w:i/>
          <w:iCs/>
          <w:color w:themeColor="text1" w:val="000000"/>
          <w:sz w:val="28"/>
          <w:szCs w:val="28"/>
          <w:lang w:val="en-US"/>
        </w:rPr>
        <w:t xml:space="preserve"> đư</w:t>
      </w:r>
      <w:r>
        <w:rPr>
          <w:rFonts w:cs="Times New Roman" w:ascii="Times New Roman" w:hAnsi="Times New Roman"/>
          <w:i/>
          <w:iCs/>
          <w:color w:themeColor="text1" w:val="000000"/>
          <w:sz w:val="28"/>
          <w:szCs w:val="28"/>
        </w:rPr>
        <w:t>ợc Quốc hội nước Cộng h</w:t>
      </w:r>
      <w:r>
        <w:rPr>
          <w:rFonts w:cs="Times New Roman" w:ascii="Times New Roman" w:hAnsi="Times New Roman"/>
          <w:i/>
          <w:iCs/>
          <w:color w:themeColor="text1" w:val="000000"/>
          <w:sz w:val="28"/>
          <w:szCs w:val="28"/>
          <w:lang w:val="en-US"/>
        </w:rPr>
        <w:t>òa xã h</w:t>
      </w:r>
      <w:r>
        <w:rPr>
          <w:rFonts w:cs="Times New Roman" w:ascii="Times New Roman" w:hAnsi="Times New Roman"/>
          <w:i/>
          <w:iCs/>
          <w:color w:themeColor="text1" w:val="000000"/>
          <w:sz w:val="28"/>
          <w:szCs w:val="28"/>
        </w:rPr>
        <w:t>ội chủ nghĩa Việt Nam kh</w:t>
      </w:r>
      <w:r>
        <w:rPr>
          <w:rFonts w:cs="Times New Roman" w:ascii="Times New Roman" w:hAnsi="Times New Roman"/>
          <w:i/>
          <w:iCs/>
          <w:color w:themeColor="text1" w:val="000000"/>
          <w:sz w:val="28"/>
          <w:szCs w:val="28"/>
          <w:lang w:val="en-US"/>
        </w:rPr>
        <w:t>óa XVI, K</w:t>
      </w:r>
      <w:r>
        <w:rPr>
          <w:rFonts w:cs="Times New Roman" w:ascii="Times New Roman" w:hAnsi="Times New Roman"/>
          <w:i/>
          <w:iCs/>
          <w:color w:themeColor="text1" w:val="000000"/>
          <w:sz w:val="28"/>
          <w:szCs w:val="28"/>
        </w:rPr>
        <w:t>ỳ họp thứ</w:t>
      </w:r>
      <w:r>
        <w:rPr>
          <w:rFonts w:cs="Times New Roman" w:ascii="Times New Roman" w:hAnsi="Times New Roman"/>
          <w:i/>
          <w:iCs/>
          <w:color w:themeColor="text1" w:val="000000"/>
          <w:sz w:val="28"/>
          <w:szCs w:val="28"/>
          <w:lang w:val="en-US"/>
        </w:rPr>
        <w:t xml:space="preserve"> 2 </w:t>
      </w:r>
      <w:r>
        <w:rPr>
          <w:rFonts w:cs="Times New Roman" w:ascii="Times New Roman" w:hAnsi="Times New Roman"/>
          <w:i/>
          <w:iCs/>
          <w:color w:themeColor="text1" w:val="000000"/>
          <w:sz w:val="28"/>
          <w:szCs w:val="28"/>
        </w:rPr>
        <w:t>th</w:t>
      </w:r>
      <w:r>
        <w:rPr>
          <w:rFonts w:cs="Times New Roman" w:ascii="Times New Roman" w:hAnsi="Times New Roman"/>
          <w:i/>
          <w:iCs/>
          <w:color w:themeColor="text1" w:val="000000"/>
          <w:sz w:val="28"/>
          <w:szCs w:val="28"/>
          <w:lang w:val="en-US"/>
        </w:rPr>
        <w:t>ông qua ngày...tháng...năm....</w:t>
      </w:r>
    </w:p>
    <w:tbl>
      <w:tblPr>
        <w:tblW w:w="5000" w:type="pct"/>
        <w:jc w:val="start"/>
        <w:tblInd w:w="0" w:type="dxa"/>
        <w:tblLayout w:type="fixed"/>
        <w:tblCellMar>
          <w:top w:w="0" w:type="dxa"/>
          <w:start w:w="108" w:type="dxa"/>
          <w:bottom w:w="0" w:type="dxa"/>
          <w:end w:w="108" w:type="dxa"/>
        </w:tblCellMar>
        <w:tblLook w:val="0000" w:firstRow="0" w:noVBand="0" w:lastRow="0" w:firstColumn="0" w:lastColumn="0" w:noHBand="0"/>
      </w:tblPr>
      <w:tblGrid>
        <w:gridCol w:w="4535"/>
        <w:gridCol w:w="4536"/>
      </w:tblGrid>
      <w:tr>
        <w:trPr>
          <w:trHeight w:val="1" w:hRule="atLeast"/>
        </w:trPr>
        <w:tc>
          <w:tcPr>
            <w:tcW w:w="4535" w:type="dxa"/>
            <w:tcBorders/>
            <w:shd w:color="auto" w:fill="FFFFFF" w:val="clear"/>
          </w:tcPr>
          <w:p>
            <w:pPr>
              <w:pStyle w:val="Normal"/>
              <w:spacing w:before="120" w:after="0"/>
              <w:rPr>
                <w:rFonts w:ascii="Times New Roman" w:hAnsi="Times New Roman" w:cs="Times New Roman"/>
                <w:b/>
                <w:bCs/>
                <w:i/>
                <w:iCs/>
                <w:color w:themeColor="text1" w:val="000000"/>
                <w:sz w:val="26"/>
                <w:szCs w:val="26"/>
                <w:lang w:val="en-US"/>
              </w:rPr>
            </w:pPr>
            <w:r>
              <w:rPr>
                <w:rFonts w:cs="Times New Roman" w:ascii="Times New Roman" w:hAnsi="Times New Roman"/>
                <w:b/>
                <w:bCs/>
                <w:i/>
                <w:iCs/>
                <w:color w:themeColor="text1" w:val="000000"/>
                <w:sz w:val="26"/>
                <w:szCs w:val="26"/>
                <w:lang w:val="en-US"/>
              </w:rPr>
            </w:r>
          </w:p>
          <w:p>
            <w:pPr>
              <w:pStyle w:val="Normal"/>
              <w:spacing w:before="120" w:after="0"/>
              <w:rPr>
                <w:rFonts w:ascii="Times New Roman" w:hAnsi="Times New Roman" w:cs="Times New Roman"/>
                <w:color w:themeColor="text1" w:val="000000"/>
                <w:sz w:val="26"/>
                <w:szCs w:val="26"/>
                <w:lang w:val="en-US"/>
              </w:rPr>
            </w:pPr>
            <w:r>
              <w:rPr>
                <w:rFonts w:cs="Times New Roman" w:ascii="Times New Roman" w:hAnsi="Times New Roman"/>
                <w:color w:themeColor="text1" w:val="000000"/>
                <w:sz w:val="26"/>
                <w:szCs w:val="26"/>
                <w:lang w:val="en-US"/>
              </w:rPr>
            </w:r>
          </w:p>
        </w:tc>
        <w:tc>
          <w:tcPr>
            <w:tcW w:w="4536" w:type="dxa"/>
            <w:tcBorders/>
            <w:shd w:color="auto" w:fill="FFFFFF" w:val="clear"/>
          </w:tcPr>
          <w:p>
            <w:pPr>
              <w:pStyle w:val="Normal"/>
              <w:spacing w:before="120" w:after="0"/>
              <w:jc w:val="center"/>
              <w:rPr>
                <w:rFonts w:ascii="Times New Roman" w:hAnsi="Times New Roman" w:cs="Times New Roman"/>
                <w:b/>
                <w:bCs/>
                <w:color w:themeColor="text1" w:val="000000"/>
                <w:sz w:val="26"/>
                <w:szCs w:val="26"/>
                <w:lang w:val="en-US"/>
              </w:rPr>
            </w:pPr>
            <w:r>
              <w:rPr>
                <w:rFonts w:cs="Times New Roman" w:ascii="Times New Roman" w:hAnsi="Times New Roman"/>
                <w:b/>
                <w:bCs/>
                <w:color w:themeColor="text1" w:val="000000"/>
                <w:sz w:val="26"/>
                <w:szCs w:val="26"/>
                <w:lang w:val="en-US"/>
              </w:rPr>
              <w:t>CH</w:t>
            </w:r>
            <w:r>
              <w:rPr>
                <w:rFonts w:cs="Times New Roman" w:ascii="Times New Roman" w:hAnsi="Times New Roman"/>
                <w:b/>
                <w:bCs/>
                <w:color w:themeColor="text1" w:val="000000"/>
                <w:sz w:val="26"/>
                <w:szCs w:val="26"/>
              </w:rPr>
              <w:t>Ủ TỊCH QUỐC HỘI</w:t>
              <w:br/>
            </w:r>
            <w:r>
              <w:rPr>
                <w:rFonts w:cs="Times New Roman" w:ascii="Times New Roman" w:hAnsi="Times New Roman"/>
                <w:i/>
                <w:iCs/>
                <w:color w:themeColor="text1" w:val="000000"/>
                <w:sz w:val="26"/>
                <w:szCs w:val="26"/>
                <w:lang w:val="en-US"/>
              </w:rPr>
              <w:t>(Ký và đóng d</w:t>
            </w:r>
            <w:r>
              <w:rPr>
                <w:rFonts w:cs="Times New Roman" w:ascii="Times New Roman" w:hAnsi="Times New Roman"/>
                <w:i/>
                <w:iCs/>
                <w:color w:themeColor="text1" w:val="000000"/>
                <w:sz w:val="26"/>
                <w:szCs w:val="26"/>
              </w:rPr>
              <w:t>ấu)</w:t>
              <w:br/>
            </w:r>
            <w:r>
              <w:rPr>
                <w:rFonts w:cs="Times New Roman" w:ascii="Times New Roman" w:hAnsi="Times New Roman"/>
                <w:b/>
                <w:bCs/>
                <w:color w:themeColor="text1" w:val="000000"/>
                <w:sz w:val="26"/>
                <w:szCs w:val="26"/>
                <w:lang w:val="en-US"/>
              </w:rPr>
              <w:br/>
            </w:r>
          </w:p>
          <w:p>
            <w:pPr>
              <w:pStyle w:val="Normal"/>
              <w:spacing w:before="120" w:after="0"/>
              <w:jc w:val="center"/>
              <w:rPr>
                <w:rFonts w:ascii="Times New Roman" w:hAnsi="Times New Roman" w:cs="Times New Roman"/>
                <w:color w:themeColor="text1" w:val="000000"/>
                <w:sz w:val="26"/>
                <w:szCs w:val="26"/>
                <w:lang w:val="en-US"/>
              </w:rPr>
            </w:pPr>
            <w:r>
              <w:rPr>
                <w:rFonts w:cs="Times New Roman" w:ascii="Times New Roman" w:hAnsi="Times New Roman"/>
                <w:b/>
                <w:bCs/>
                <w:color w:themeColor="text1" w:val="000000"/>
                <w:sz w:val="26"/>
                <w:szCs w:val="26"/>
                <w:lang w:val="en-US"/>
              </w:rPr>
              <w:br/>
            </w:r>
            <w:r>
              <w:rPr>
                <w:rFonts w:cs="Times New Roman" w:ascii="Times New Roman" w:hAnsi="Times New Roman"/>
                <w:b/>
                <w:bCs/>
                <w:color w:themeColor="text1" w:val="000000"/>
                <w:sz w:val="28"/>
                <w:szCs w:val="28"/>
                <w:lang w:val="en-US"/>
              </w:rPr>
              <w:t>Trần Thanh Mẫn</w:t>
            </w:r>
          </w:p>
        </w:tc>
      </w:tr>
    </w:tbl>
    <w:p>
      <w:pPr>
        <w:pStyle w:val="Normal"/>
        <w:rPr>
          <w:rFonts w:ascii="Times New Roman" w:hAnsi="Times New Roman" w:cs="Times New Roman"/>
          <w:color w:themeColor="text1" w:val="000000"/>
          <w:sz w:val="26"/>
          <w:szCs w:val="26"/>
          <w:lang w:val="en-US"/>
        </w:rPr>
      </w:pPr>
      <w:r>
        <w:rPr>
          <w:rFonts w:cs="Times New Roman" w:ascii="Times New Roman" w:hAnsi="Times New Roman"/>
          <w:color w:themeColor="text1" w:val="000000"/>
          <w:sz w:val="26"/>
          <w:szCs w:val="26"/>
          <w:lang w:val="en-US"/>
        </w:rPr>
      </w:r>
    </w:p>
    <w:p>
      <w:pPr>
        <w:pStyle w:val="Normal"/>
        <w:rPr>
          <w:rFonts w:ascii="Times New Roman" w:hAnsi="Times New Roman" w:cs="Times New Roman"/>
          <w:color w:themeColor="text1" w:val="000000"/>
          <w:sz w:val="26"/>
          <w:szCs w:val="26"/>
        </w:rPr>
      </w:pPr>
      <w:r>
        <w:rPr>
          <w:rFonts w:cs="Times New Roman" w:ascii="Times New Roman" w:hAnsi="Times New Roman"/>
          <w:color w:themeColor="text1" w:val="000000"/>
          <w:sz w:val="26"/>
          <w:szCs w:val="26"/>
        </w:rPr>
      </w:r>
    </w:p>
    <w:sectPr>
      <w:headerReference w:type="even" r:id="rId2"/>
      <w:headerReference w:type="default" r:id="rId3"/>
      <w:headerReference w:type="first" r:id="rId4"/>
      <w:type w:val="nextPage"/>
      <w:pgSz w:w="11906" w:h="16838"/>
      <w:pgMar w:left="1701" w:right="1134" w:gutter="0" w:header="720" w:top="1134" w:footer="0" w:bottom="1134"/>
      <w:pgNumType w:start="1"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Microsoft Sans Serif">
    <w:charset w:val="00" w:characterSet="windows-1252"/>
    <w:family w:val="swiss"/>
    <w:pitch w:val="variable"/>
  </w:font>
  <w:font w:name=".VnTimeH">
    <w:charset w:val="00" w:characterSet="windows-1252"/>
    <w:family w:val="swiss"/>
    <w:pitch w:val="variable"/>
  </w:font>
  <w:font w:name="Segoe UI">
    <w:charset w:val="00" w:characterSet="windows-1252"/>
    <w:family w:val="swiss"/>
    <w:pitch w:val="variable"/>
  </w:font>
  <w:font w:name=".VnTime">
    <w:charset w:val="00" w:characterSet="windows-1252"/>
    <w:family w:val="swiss"/>
    <w:pitch w:val="variable"/>
  </w:font>
  <w:font w:name="Calibri Light">
    <w:charset w:val="00" w:characterSet="windows-1252"/>
    <w:family w:val="swiss"/>
    <w:pitch w:val="variable"/>
  </w:font>
  <w:font w:name="Liberation Sans">
    <w:altName w:val="Arial"/>
    <w:charset w:val="00" w:characterSet="windows-1252"/>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cs="Times New Roman"/>
        <w:sz w:val="26"/>
        <w:szCs w:val="26"/>
      </w:rPr>
    </w:pPr>
    <w:r>
      <w:rPr>
        <w:rFonts w:cs="Times New Roman" w:ascii="Times New Roman" w:hAnsi="Times New Roman"/>
        <w:sz w:val="26"/>
        <w:szCs w:val="26"/>
      </w:rPr>
      <w:fldChar w:fldCharType="begin"/>
    </w:r>
    <w:r>
      <w:rPr>
        <w:rFonts w:cs="Times New Roman" w:ascii="Times New Roman" w:hAnsi="Times New Roman"/>
        <w:sz w:val="26"/>
        <w:szCs w:val="26"/>
      </w:rPr>
      <w:instrText xml:space="preserve"> PAGE </w:instrText>
    </w:r>
    <w:r>
      <w:rPr>
        <w:rFonts w:cs="Times New Roman" w:ascii="Times New Roman" w:hAnsi="Times New Roman"/>
        <w:sz w:val="26"/>
        <w:szCs w:val="26"/>
      </w:rPr>
      <w:fldChar w:fldCharType="separate"/>
    </w:r>
    <w:r>
      <w:rPr>
        <w:rFonts w:cs="Times New Roman" w:ascii="Times New Roman" w:hAnsi="Times New Roman"/>
        <w:sz w:val="26"/>
        <w:szCs w:val="26"/>
      </w:rPr>
      <w:t>9</w:t>
    </w:r>
    <w:r>
      <w:rPr>
        <w:rFonts w:cs="Times New Roman" w:ascii="Times New Roman" w:hAnsi="Times New Roman"/>
        <w:sz w:val="26"/>
        <w:szCs w:val="26"/>
      </w:rPr>
      <w:fldChar w:fldCharType="end"/>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suff w:val="space"/>
      <w:lvlText w:val="%1."/>
      <w:lvlJc w:val="start"/>
      <w:pPr>
        <w:tabs>
          <w:tab w:val="num" w:pos="0"/>
        </w:tabs>
        <w:ind w:start="786" w:hanging="360"/>
      </w:pPr>
      <w:rPr>
        <w:sz w:val="28"/>
        <w:szCs w:val="28"/>
      </w:rPr>
    </w:lvl>
    <w:lvl w:ilvl="1">
      <w:start w:val="1"/>
      <w:numFmt w:val="lowerLetter"/>
      <w:lvlText w:val="%2."/>
      <w:lvlJc w:val="start"/>
      <w:pPr>
        <w:tabs>
          <w:tab w:val="num" w:pos="0"/>
        </w:tabs>
        <w:ind w:start="2292" w:hanging="360"/>
      </w:pPr>
      <w:rPr/>
    </w:lvl>
    <w:lvl w:ilvl="2">
      <w:start w:val="1"/>
      <w:numFmt w:val="lowerRoman"/>
      <w:lvlText w:val="%3."/>
      <w:lvlJc w:val="end"/>
      <w:pPr>
        <w:tabs>
          <w:tab w:val="num" w:pos="0"/>
        </w:tabs>
        <w:ind w:start="3012" w:hanging="180"/>
      </w:pPr>
      <w:rPr/>
    </w:lvl>
    <w:lvl w:ilvl="3">
      <w:start w:val="1"/>
      <w:numFmt w:val="decimal"/>
      <w:lvlText w:val="%4."/>
      <w:lvlJc w:val="start"/>
      <w:pPr>
        <w:tabs>
          <w:tab w:val="num" w:pos="0"/>
        </w:tabs>
        <w:ind w:start="3732" w:hanging="360"/>
      </w:pPr>
      <w:rPr/>
    </w:lvl>
    <w:lvl w:ilvl="4">
      <w:start w:val="1"/>
      <w:numFmt w:val="lowerLetter"/>
      <w:lvlText w:val="%5."/>
      <w:lvlJc w:val="start"/>
      <w:pPr>
        <w:tabs>
          <w:tab w:val="num" w:pos="0"/>
        </w:tabs>
        <w:ind w:start="4452" w:hanging="360"/>
      </w:pPr>
      <w:rPr/>
    </w:lvl>
    <w:lvl w:ilvl="5">
      <w:start w:val="1"/>
      <w:numFmt w:val="lowerRoman"/>
      <w:lvlText w:val="%6."/>
      <w:lvlJc w:val="end"/>
      <w:pPr>
        <w:tabs>
          <w:tab w:val="num" w:pos="0"/>
        </w:tabs>
        <w:ind w:start="5172" w:hanging="180"/>
      </w:pPr>
      <w:rPr/>
    </w:lvl>
    <w:lvl w:ilvl="6">
      <w:start w:val="1"/>
      <w:numFmt w:val="decimal"/>
      <w:lvlText w:val="%7."/>
      <w:lvlJc w:val="start"/>
      <w:pPr>
        <w:tabs>
          <w:tab w:val="num" w:pos="0"/>
        </w:tabs>
        <w:ind w:start="5892" w:hanging="360"/>
      </w:pPr>
      <w:rPr/>
    </w:lvl>
    <w:lvl w:ilvl="7">
      <w:start w:val="1"/>
      <w:numFmt w:val="lowerLetter"/>
      <w:lvlText w:val="%8."/>
      <w:lvlJc w:val="start"/>
      <w:pPr>
        <w:tabs>
          <w:tab w:val="num" w:pos="0"/>
        </w:tabs>
        <w:ind w:start="6612" w:hanging="360"/>
      </w:pPr>
      <w:rPr/>
    </w:lvl>
    <w:lvl w:ilvl="8">
      <w:start w:val="1"/>
      <w:numFmt w:val="lowerRoman"/>
      <w:lvlText w:val="%9."/>
      <w:lvlJc w:val="end"/>
      <w:pPr>
        <w:tabs>
          <w:tab w:val="num" w:pos="0"/>
        </w:tabs>
        <w:ind w:start="7332" w:hanging="180"/>
      </w:pPr>
      <w:rPr/>
    </w:lvl>
  </w:abstractNum>
  <w:abstractNum w:abstractNumId="2">
    <w:lvl w:ilvl="0">
      <w:start w:val="1"/>
      <w:numFmt w:val="decimal"/>
      <w:suff w:val="space"/>
      <w:lvlText w:val="%1."/>
      <w:lvlJc w:val="start"/>
      <w:pPr>
        <w:tabs>
          <w:tab w:val="num" w:pos="0"/>
        </w:tabs>
        <w:ind w:start="0" w:hanging="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hyphenationZone w:val="0"/>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Times New Roman"/>
        <w:lang w:val="en-US"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qFormat="1"/>
    <w:lsdException w:name="header" w:unhideWhenUsed="1" w:qFormat="1"/>
    <w:lsdException w:name="footer"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val="false"/>
      <w:bidi w:val="0"/>
      <w:spacing w:before="0" w:after="0"/>
      <w:jc w:val="start"/>
    </w:pPr>
    <w:rPr>
      <w:rFonts w:ascii="Microsoft Sans Serif" w:hAnsi="Microsoft Sans Serif" w:eastAsia="Microsoft Sans Serif" w:cs="Microsoft Sans Serif"/>
      <w:color w:val="000000"/>
      <w:kern w:val="0"/>
      <w:sz w:val="24"/>
      <w:szCs w:val="24"/>
      <w:lang w:val="vi-VN" w:eastAsia="vi-VN" w:bidi="ar-SA"/>
    </w:rPr>
  </w:style>
  <w:style w:type="paragraph" w:styleId="Heading1">
    <w:name w:val="heading 1"/>
    <w:basedOn w:val="Normal"/>
    <w:next w:val="Normal"/>
    <w:link w:val="Heading1Char1"/>
    <w:qFormat/>
    <w:pPr>
      <w:keepNext w:val="true"/>
      <w:widowControl/>
      <w:spacing w:lineRule="atLeast" w:line="360"/>
      <w:jc w:val="center"/>
      <w:outlineLvl w:val="0"/>
    </w:pPr>
    <w:rPr>
      <w:rFonts w:ascii=".VnTimeH" w:hAnsi=".VnTimeH" w:eastAsia="Times New Roman" w:cs="Times New Roman"/>
      <w:b/>
      <w:color w:val="auto"/>
      <w:sz w:val="28"/>
      <w:szCs w:val="20"/>
      <w:lang w:val="en-US" w:eastAsia="en-US"/>
    </w:rPr>
  </w:style>
  <w:style w:type="character" w:styleId="DefaultParagraphFont" w:default="1">
    <w:name w:val="Default Paragraph Font"/>
    <w:uiPriority w:val="1"/>
    <w:semiHidden/>
    <w:unhideWhenUsed/>
    <w:qFormat/>
    <w:rPr/>
  </w:style>
  <w:style w:type="character" w:styleId="Heading1Char1" w:customStyle="1">
    <w:name w:val="Heading 1 Char1"/>
    <w:link w:val="Heading1"/>
    <w:qFormat/>
    <w:rPr>
      <w:rFonts w:ascii=".VnTimeH" w:hAnsi=".VnTimeH" w:eastAsia="Times New Roman" w:cs="Times New Roman"/>
      <w:b/>
      <w:sz w:val="28"/>
      <w:szCs w:val="20"/>
    </w:rPr>
  </w:style>
  <w:style w:type="character" w:styleId="BalloonTextChar" w:customStyle="1">
    <w:name w:val="Balloon Text Char"/>
    <w:link w:val="BalloonText"/>
    <w:uiPriority w:val="99"/>
    <w:semiHidden/>
    <w:qFormat/>
    <w:rPr>
      <w:rFonts w:ascii="Segoe UI" w:hAnsi="Segoe UI" w:eastAsia="Microsoft Sans Serif" w:cs="Segoe UI"/>
      <w:color w:val="000000"/>
      <w:sz w:val="18"/>
      <w:szCs w:val="18"/>
      <w:lang w:val="vi-VN" w:eastAsia="vi-VN"/>
    </w:rPr>
  </w:style>
  <w:style w:type="character" w:styleId="CommentReference">
    <w:name w:val="annotation reference"/>
    <w:semiHidden/>
    <w:qFormat/>
    <w:rPr>
      <w:sz w:val="16"/>
      <w:szCs w:val="16"/>
    </w:rPr>
  </w:style>
  <w:style w:type="character" w:styleId="CommentTextChar1" w:customStyle="1">
    <w:name w:val="Comment Text Char1"/>
    <w:link w:val="CommentText"/>
    <w:qFormat/>
    <w:locked/>
    <w:rPr>
      <w:rFonts w:ascii=".VnTime" w:hAnsi=".VnTime" w:eastAsia="Times New Roman" w:cs="Times New Roman"/>
      <w:sz w:val="20"/>
      <w:szCs w:val="20"/>
    </w:rPr>
  </w:style>
  <w:style w:type="character" w:styleId="CommentSubjectChar" w:customStyle="1">
    <w:name w:val="Comment Subject Char"/>
    <w:link w:val="annotationsubject"/>
    <w:uiPriority w:val="99"/>
    <w:semiHidden/>
    <w:qFormat/>
    <w:rPr>
      <w:rFonts w:ascii="Microsoft Sans Serif" w:hAnsi="Microsoft Sans Serif" w:eastAsia="Microsoft Sans Serif" w:cs="Microsoft Sans Serif"/>
      <w:b/>
      <w:bCs/>
      <w:color w:val="000000"/>
      <w:sz w:val="20"/>
      <w:szCs w:val="20"/>
      <w:lang w:val="vi-VN" w:eastAsia="vi-VN"/>
    </w:rPr>
  </w:style>
  <w:style w:type="character" w:styleId="FooterChar" w:customStyle="1">
    <w:name w:val="Footer Char"/>
    <w:link w:val="Footer"/>
    <w:uiPriority w:val="99"/>
    <w:qFormat/>
    <w:rPr>
      <w:rFonts w:ascii="Microsoft Sans Serif" w:hAnsi="Microsoft Sans Serif" w:eastAsia="Microsoft Sans Serif" w:cs="Microsoft Sans Serif"/>
      <w:color w:val="000000"/>
      <w:sz w:val="24"/>
      <w:szCs w:val="24"/>
      <w:lang w:val="vi-VN" w:eastAsia="vi-VN"/>
    </w:rPr>
  </w:style>
  <w:style w:type="character" w:styleId="HeaderChar" w:customStyle="1">
    <w:name w:val="Header Char"/>
    <w:link w:val="Header"/>
    <w:uiPriority w:val="99"/>
    <w:qFormat/>
    <w:rPr>
      <w:rFonts w:ascii="Microsoft Sans Serif" w:hAnsi="Microsoft Sans Serif" w:eastAsia="Microsoft Sans Serif" w:cs="Microsoft Sans Serif"/>
      <w:color w:val="000000"/>
      <w:sz w:val="24"/>
      <w:szCs w:val="24"/>
      <w:lang w:val="vi-VN" w:eastAsia="vi-VN"/>
    </w:rPr>
  </w:style>
  <w:style w:type="character" w:styleId="Hyperlink">
    <w:name w:val="Hyperlink"/>
    <w:uiPriority w:val="99"/>
    <w:unhideWhenUsed/>
    <w:qFormat/>
    <w:rPr>
      <w:color w:val="5F5F5F"/>
      <w:u w:val="single"/>
    </w:rPr>
  </w:style>
  <w:style w:type="character" w:styleId="Heading1Char" w:customStyle="1">
    <w:name w:val="Heading 1 Char"/>
    <w:uiPriority w:val="9"/>
    <w:qFormat/>
    <w:rPr>
      <w:rFonts w:ascii="Calibri Light" w:hAnsi="Calibri Light" w:eastAsia="DengXian Light" w:cs="Times New Roman"/>
      <w:color w:val="A5A5A5"/>
      <w:sz w:val="32"/>
      <w:szCs w:val="32"/>
      <w:lang w:val="vi-VN" w:eastAsia="vi-VN"/>
    </w:rPr>
  </w:style>
  <w:style w:type="character" w:styleId="CommentTextChar" w:customStyle="1">
    <w:name w:val="Comment Text Char"/>
    <w:uiPriority w:val="99"/>
    <w:semiHidden/>
    <w:qFormat/>
    <w:rPr>
      <w:rFonts w:ascii="Microsoft Sans Serif" w:hAnsi="Microsoft Sans Serif" w:eastAsia="Microsoft Sans Serif" w:cs="Microsoft Sans Serif"/>
      <w:color w:val="000000"/>
      <w:sz w:val="20"/>
      <w:szCs w:val="20"/>
      <w:lang w:val="vi-VN" w:eastAsia="vi-VN"/>
    </w:rPr>
  </w:style>
  <w:style w:type="character" w:styleId="CommentTextChar2" w:customStyle="1">
    <w:name w:val="Comment Text Char2"/>
    <w:qFormat/>
    <w:locked/>
    <w:rPr>
      <w:rFonts w:ascii=".VnTime" w:hAnsi=".VnTime"/>
      <w:lang w:val="en-US" w:eastAsia="en-US" w:bidi="ar-SA"/>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link w:val="BalloonTextChar"/>
    <w:uiPriority w:val="99"/>
    <w:unhideWhenUsed/>
    <w:qFormat/>
    <w:pPr/>
    <w:rPr>
      <w:rFonts w:ascii="Segoe UI" w:hAnsi="Segoe UI" w:cs="Segoe UI"/>
      <w:sz w:val="18"/>
      <w:szCs w:val="18"/>
    </w:rPr>
  </w:style>
  <w:style w:type="paragraph" w:styleId="CommentText">
    <w:name w:val="annotation text"/>
    <w:basedOn w:val="Normal"/>
    <w:link w:val="CommentTextChar1"/>
    <w:semiHidden/>
    <w:qFormat/>
    <w:pPr>
      <w:widowControl/>
    </w:pPr>
    <w:rPr>
      <w:rFonts w:ascii=".VnTime" w:hAnsi=".VnTime" w:eastAsia="Times New Roman" w:cs="Times New Roman"/>
      <w:color w:val="auto"/>
      <w:sz w:val="20"/>
      <w:szCs w:val="20"/>
      <w:lang w:val="en-US" w:eastAsia="en-US"/>
    </w:rPr>
  </w:style>
  <w:style w:type="paragraph" w:styleId="annotationsubject">
    <w:name w:val="annotation subject"/>
    <w:basedOn w:val="CommentText"/>
    <w:next w:val="CommentText"/>
    <w:link w:val="CommentSubjectChar"/>
    <w:uiPriority w:val="99"/>
    <w:unhideWhenUsed/>
    <w:qFormat/>
    <w:pPr>
      <w:widowControl w:val="false"/>
    </w:pPr>
    <w:rPr>
      <w:rFonts w:ascii="Microsoft Sans Serif" w:hAnsi="Microsoft Sans Serif" w:eastAsia="Microsoft Sans Serif" w:cs="Microsoft Sans Serif"/>
      <w:b/>
      <w:bCs/>
      <w:color w:val="000000"/>
      <w:lang w:val="vi-VN" w:eastAsia="vi-VN"/>
    </w:rPr>
  </w:style>
  <w:style w:type="paragraph" w:styleId="HeaderandFooter">
    <w:name w:val="Header and Footer"/>
    <w:basedOn w:val="Normal"/>
    <w:qFormat/>
    <w:pPr/>
    <w:rPr/>
  </w:style>
  <w:style w:type="paragraph" w:styleId="Footer">
    <w:name w:val="footer"/>
    <w:basedOn w:val="Normal"/>
    <w:link w:val="FooterChar"/>
    <w:uiPriority w:val="99"/>
    <w:unhideWhenUsed/>
    <w:qFormat/>
    <w:pPr>
      <w:tabs>
        <w:tab w:val="clear" w:pos="720"/>
        <w:tab w:val="center" w:pos="4680" w:leader="none"/>
        <w:tab w:val="right" w:pos="9360" w:leader="none"/>
      </w:tabs>
    </w:pPr>
    <w:rPr/>
  </w:style>
  <w:style w:type="paragraph" w:styleId="Header">
    <w:name w:val="header"/>
    <w:basedOn w:val="Normal"/>
    <w:link w:val="HeaderChar"/>
    <w:uiPriority w:val="99"/>
    <w:unhideWhenUsed/>
    <w:qFormat/>
    <w:pPr>
      <w:tabs>
        <w:tab w:val="clear" w:pos="720"/>
        <w:tab w:val="center" w:pos="4680" w:leader="none"/>
        <w:tab w:val="right" w:pos="9360" w:leader="none"/>
      </w:tabs>
    </w:pPr>
    <w:rPr/>
  </w:style>
  <w:style w:type="paragraph" w:styleId="Char4" w:customStyle="1">
    <w:name w:val="Char4"/>
    <w:basedOn w:val="Normal"/>
    <w:semiHidden/>
    <w:qFormat/>
    <w:pPr>
      <w:widowControl/>
      <w:spacing w:lineRule="exact" w:line="240" w:before="0" w:after="160"/>
    </w:pPr>
    <w:rPr>
      <w:rFonts w:ascii="Arial" w:hAnsi="Arial" w:eastAsia="Times New Roman" w:cs="Arial"/>
      <w:color w:val="auto"/>
      <w:sz w:val="22"/>
      <w:szCs w:val="22"/>
      <w:lang w:val="en-US" w:eastAsia="en-US"/>
    </w:rPr>
  </w:style>
  <w:style w:type="paragraph" w:styleId="ListParagraph">
    <w:name w:val="List Paragraph"/>
    <w:basedOn w:val="Normal"/>
    <w:uiPriority w:val="34"/>
    <w:qFormat/>
    <w:pPr>
      <w:spacing w:before="0" w:after="0"/>
      <w:ind w:start="720"/>
      <w:contextualSpacing/>
    </w:pPr>
    <w:rPr/>
  </w:style>
  <w:style w:type="paragraph" w:styleId="Revision1" w:customStyle="1">
    <w:name w:val="Revision1"/>
    <w:uiPriority w:val="99"/>
    <w:semiHidden/>
    <w:qFormat/>
    <w:pPr>
      <w:widowControl/>
      <w:bidi w:val="0"/>
      <w:spacing w:before="0" w:after="0"/>
      <w:jc w:val="start"/>
    </w:pPr>
    <w:rPr>
      <w:rFonts w:ascii="Microsoft Sans Serif" w:hAnsi="Microsoft Sans Serif" w:eastAsia="Microsoft Sans Serif" w:cs="Microsoft Sans Serif"/>
      <w:color w:val="000000"/>
      <w:kern w:val="0"/>
      <w:sz w:val="24"/>
      <w:szCs w:val="24"/>
      <w:lang w:val="vi-VN" w:eastAsia="vi-VN" w:bidi="ar-SA"/>
    </w:rPr>
  </w:style>
  <w:style w:type="paragraph" w:styleId="Revision">
    <w:name w:val="Revision"/>
    <w:uiPriority w:val="99"/>
    <w:unhideWhenUsed/>
    <w:qFormat/>
    <w:rsid w:val="005741c8"/>
    <w:pPr>
      <w:widowControl/>
      <w:bidi w:val="0"/>
      <w:spacing w:before="0" w:after="0"/>
      <w:jc w:val="start"/>
    </w:pPr>
    <w:rPr>
      <w:rFonts w:ascii="Microsoft Sans Serif" w:hAnsi="Microsoft Sans Serif" w:eastAsia="Microsoft Sans Serif" w:cs="Microsoft Sans Serif"/>
      <w:color w:val="000000"/>
      <w:kern w:val="0"/>
      <w:sz w:val="24"/>
      <w:szCs w:val="24"/>
      <w:lang w:val="vi-VN" w:eastAsia="vi-VN" w:bidi="ar-SA"/>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Style13">
    <w:name w:val="_Style 13"/>
    <w:basedOn w:val="TableNormal0"/>
    <w:qFormat/>
    <w:tblPr>
      <w:tblCellMar>
        <w:top w:w="0" w:type="dxa"/>
        <w:left w:w="108" w:type="dxa"/>
        <w:bottom w:w="0" w:type="dxa"/>
        <w:right w:w="108" w:type="dxa"/>
      </w:tblCellMar>
    </w:tblPr>
  </w:style>
  <w:style w:type="table" w:customStyle="1" w:styleId="TableNormal0">
    <w:name w:val="TableNormal"/>
    <w:qFormat/>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LibreOffice/26.2.6.3$Windows_X86_64 LibreOffice_project/8221e31b3ac356a1623c672912a3d2b492f7e3d1</Application>
  <AppVersion>15.0000</AppVersion>
  <Pages>9</Pages>
  <Words>3145</Words>
  <Characters>17933</Characters>
  <CharactersWithSpaces>21036</CharactersWithSpaces>
  <Paragraphs>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2026-09-27T09:11:00Z</dcterms:created>
  <dc:creator>Pham Hai Ly - PC-ĐN</dc:creator>
  <dc:description/>
  <dc:language>en-US</dc:language>
  <cp:lastModifiedBy>Pham Hai Ly - PC-ĐN</cp:lastModifiedBy>
  <cp:lastPrinted>2026-09-25T04:25:00Z</cp:lastPrinted>
  <dcterms:modified xsi:type="dcterms:W3CDTF">2026-09-27T09:11:00Z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025C19DA89464FF1905DCB71C4E8518D_13</vt:lpwstr>
  </property>
  <property fmtid="{D5CDD505-2E9C-101B-9397-08002B2CF9AE}" pid="3" name="KSOProductBuildVer">
    <vt:lpwstr>1033-12.1.0.26880</vt:lpwstr>
  </property>
  <property fmtid="{D5CDD505-2E9C-101B-9397-08002B2CF9AE}" pid="4" name="KSOTemplateDocerSaveRecord">
    <vt:lpwstr>eyJoZGlkIjoiYjJjOWI0ZjVlMzA1NzU0ZmY0MGEyMDA2Y2RmZTNhYTUifQ==</vt:lpwstr>
  </property>
</Properties>
</file>