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050" w:type="dxa"/>
        <w:jc w:val="center"/>
        <w:tblInd w:w="0" w:type="dxa"/>
        <w:tblLayout w:type="fixed"/>
        <w:tblCellMar>
          <w:top w:w="0" w:type="dxa"/>
          <w:left w:w="108" w:type="dxa"/>
          <w:bottom w:w="0" w:type="dxa"/>
          <w:right w:w="108" w:type="dxa"/>
        </w:tblCellMar>
      </w:tblPr>
      <w:tblGrid>
        <w:gridCol w:w="3930"/>
        <w:gridCol w:w="6120"/>
      </w:tblGrid>
      <w:tr>
        <w:trPr/>
        <w:tc>
          <w:tcPr>
            <w:tcW w:w="3930" w:type="dxa"/>
            <w:tcBorders/>
          </w:tcPr>
          <w:p>
            <w:pPr>
              <w:pStyle w:val="Normal"/>
              <w:ind w:left="-41" w:right="-41"/>
              <w:jc w:val="center"/>
              <w:rPr>
                <w:b/>
                <w:color w:val="000000"/>
                <w:sz w:val="28"/>
                <w:szCs w:val="28"/>
                <w:lang w:val="vi-VN"/>
              </w:rPr>
            </w:pPr>
            <w:r>
              <w:rPr>
                <w:b/>
                <w:color w:val="000000"/>
                <w:sz w:val="28"/>
                <w:szCs w:val="28"/>
                <w:lang w:val="vi-VN"/>
              </w:rPr>
              <w:t>HỘI ĐỒNG NHÂN DÂN</w:t>
            </w:r>
          </w:p>
          <w:p>
            <w:pPr>
              <w:pStyle w:val="Normal"/>
              <w:ind w:left="-41" w:right="-41"/>
              <w:jc w:val="center"/>
              <w:rPr>
                <w:b/>
                <w:color w:val="000000"/>
                <w:sz w:val="28"/>
                <w:szCs w:val="28"/>
              </w:rPr>
            </w:pPr>
            <w:r>
              <w:rPr>
                <w:b/>
                <w:color w:val="000000"/>
                <w:sz w:val="28"/>
                <w:szCs w:val="28"/>
                <w:lang w:val="vi-VN"/>
              </w:rPr>
              <w:t xml:space="preserve">THÀNH PHỐ </w:t>
            </w:r>
            <w:r>
              <w:rPr>
                <w:b/>
                <w:color w:val="000000"/>
                <w:sz w:val="28"/>
                <w:szCs w:val="28"/>
              </w:rPr>
              <w:t>HỒ CHÍ MINH</w:t>
            </w:r>
          </w:p>
          <w:p>
            <w:pPr>
              <w:pStyle w:val="Normal"/>
              <w:ind w:left="-41" w:right="-41"/>
              <w:jc w:val="center"/>
              <w:rPr>
                <w:color w:val="000000"/>
                <w:sz w:val="26"/>
                <w:lang w:val="vi-VN"/>
              </w:rPr>
            </w:pPr>
            <w:r>
              <w:rPr>
                <w:b/>
                <w:color w:val="000000"/>
                <w:sz w:val="26"/>
                <w:szCs w:val="28"/>
                <w:lang w:val="vi-VN" w:eastAsia="vi-VN"/>
              </w:rPr>
              <mc:AlternateContent>
                <mc:Choice Requires="wps">
                  <w:drawing>
                    <wp:anchor distT="0" distB="0" distL="114935" distR="114935" simplePos="0" relativeHeight="3" behindDoc="0" locked="0" layoutInCell="1" allowOverlap="1">
                      <wp:simplePos x="0" y="0"/>
                      <wp:positionH relativeFrom="column">
                        <wp:posOffset>657225</wp:posOffset>
                      </wp:positionH>
                      <wp:positionV relativeFrom="paragraph">
                        <wp:posOffset>77470</wp:posOffset>
                      </wp:positionV>
                      <wp:extent cx="1007745" cy="0"/>
                      <wp:effectExtent l="0" t="5080" r="0" b="5080"/>
                      <wp:wrapNone/>
                      <wp:docPr id="1" name=""/>
                      <a:graphic xmlns:a="http://schemas.openxmlformats.org/drawingml/2006/main">
                        <a:graphicData uri="http://schemas.microsoft.com/office/word/2010/wordprocessingShape">
                          <wps:wsp>
                            <wps:cNvSpPr/>
                            <wps:spPr>
                              <a:xfrm>
                                <a:off x="0" y="0"/>
                                <a:ext cx="1007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51.75pt,6.1pt" to="131.05pt,6.1pt" stroked="t" o:allowincell="t" style="position:absolute">
                      <v:stroke color="black" weight="9360" joinstyle="miter" endcap="flat"/>
                      <v:fill o:detectmouseclick="t" on="false"/>
                      <w10:wrap type="none"/>
                    </v:line>
                  </w:pict>
                </mc:Fallback>
              </mc:AlternateContent>
            </w:r>
          </w:p>
          <w:p>
            <w:pPr>
              <w:pStyle w:val="Normal"/>
              <w:ind w:left="-41" w:right="-41"/>
              <w:jc w:val="center"/>
              <w:rPr>
                <w:color w:val="000000"/>
                <w:sz w:val="28"/>
                <w:szCs w:val="28"/>
                <w:lang w:val="vi-VN"/>
              </w:rPr>
            </w:pPr>
            <w:r>
              <w:rPr>
                <w:color w:val="000000"/>
                <w:sz w:val="28"/>
                <w:szCs w:val="28"/>
                <w:lang w:val="vi-VN"/>
              </w:rPr>
              <w:t>Số:         /20</w:t>
            </w:r>
            <w:r>
              <w:rPr>
                <w:color w:val="000000"/>
                <w:sz w:val="28"/>
                <w:szCs w:val="28"/>
              </w:rPr>
              <w:t>26</w:t>
            </w:r>
            <w:r>
              <w:rPr>
                <w:color w:val="000000"/>
                <w:sz w:val="28"/>
                <w:szCs w:val="28"/>
                <w:lang w:val="vi-VN"/>
              </w:rPr>
              <w:t>/NQ-HĐND</w:t>
            </w:r>
          </w:p>
        </w:tc>
        <w:tc>
          <w:tcPr>
            <w:tcW w:w="6120" w:type="dxa"/>
            <w:tcBorders/>
          </w:tcPr>
          <w:p>
            <w:pPr>
              <w:pStyle w:val="Normal"/>
              <w:jc w:val="center"/>
              <w:rPr>
                <w:b/>
                <w:color w:val="000000"/>
                <w:sz w:val="28"/>
                <w:szCs w:val="28"/>
                <w:lang w:val="vi-VN"/>
              </w:rPr>
            </w:pPr>
            <w:r>
              <w:rPr>
                <w:b/>
                <w:color w:val="000000"/>
                <w:sz w:val="28"/>
                <w:szCs w:val="28"/>
                <w:lang w:val="vi-VN"/>
              </w:rPr>
              <w:t>CỘNG HÒA XÃ HỘI CHỦ NGHĨA VIỆT NAM</w:t>
            </w:r>
          </w:p>
          <w:p>
            <w:pPr>
              <w:pStyle w:val="Heading3"/>
              <w:spacing w:before="0" w:after="0"/>
              <w:ind w:hanging="0" w:left="0"/>
              <w:rPr>
                <w:rFonts w:ascii="Times New Roman" w:hAnsi="Times New Roman" w:cs="Times New Roman"/>
                <w:color w:val="000000"/>
                <w:lang w:val="vi-VN"/>
              </w:rPr>
            </w:pPr>
            <w:r>
              <w:rPr>
                <w:rFonts w:cs="Times New Roman" w:ascii="Times New Roman" w:hAnsi="Times New Roman"/>
                <w:color w:val="000000"/>
                <w:lang w:val="vi-VN"/>
              </w:rPr>
              <w:t>Độc lập - Tự do - Hạnh phúc</w:t>
            </w:r>
          </w:p>
          <w:p>
            <w:pPr>
              <w:pStyle w:val="Normal"/>
              <w:jc w:val="center"/>
              <w:rPr>
                <w:color w:val="000000"/>
                <w:sz w:val="26"/>
                <w:lang w:val="vi-VN"/>
              </w:rPr>
            </w:pPr>
            <w:r>
              <w:rPr>
                <w:rFonts w:cs="Times New Roman"/>
                <w:color w:val="000000"/>
                <w:sz w:val="26"/>
                <w:lang w:val="vi-VN" w:eastAsia="vi-VN"/>
              </w:rPr>
              <mc:AlternateContent>
                <mc:Choice Requires="wps">
                  <w:drawing>
                    <wp:anchor distT="0" distB="0" distL="114935" distR="114935" simplePos="0" relativeHeight="2" behindDoc="0" locked="0" layoutInCell="1" allowOverlap="1">
                      <wp:simplePos x="0" y="0"/>
                      <wp:positionH relativeFrom="column">
                        <wp:posOffset>827405</wp:posOffset>
                      </wp:positionH>
                      <wp:positionV relativeFrom="paragraph">
                        <wp:posOffset>75565</wp:posOffset>
                      </wp:positionV>
                      <wp:extent cx="2076450" cy="0"/>
                      <wp:effectExtent l="0" t="5080" r="0" b="5080"/>
                      <wp:wrapNone/>
                      <wp:docPr id="2" name=""/>
                      <a:graphic xmlns:a="http://schemas.openxmlformats.org/drawingml/2006/main">
                        <a:graphicData uri="http://schemas.microsoft.com/office/word/2010/wordprocessingShape">
                          <wps:wsp>
                            <wps:cNvSpPr/>
                            <wps:spPr>
                              <a:xfrm>
                                <a:off x="0" y="0"/>
                                <a:ext cx="20764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65.15pt,5.95pt" to="228.6pt,5.95pt" stroked="t" o:allowincell="t" style="position:absolute">
                      <v:stroke color="black" weight="9360" joinstyle="miter" endcap="flat"/>
                      <v:fill o:detectmouseclick="t" on="false"/>
                      <w10:wrap type="none"/>
                    </v:line>
                  </w:pict>
                </mc:Fallback>
              </mc:AlternateContent>
            </w:r>
          </w:p>
          <w:p>
            <w:pPr>
              <w:pStyle w:val="Normal"/>
              <w:jc w:val="center"/>
              <w:rPr>
                <w:i/>
                <w:color w:val="000000"/>
                <w:sz w:val="28"/>
                <w:szCs w:val="28"/>
              </w:rPr>
            </w:pPr>
            <w:r>
              <w:rPr>
                <w:i/>
                <w:color w:val="000000"/>
                <w:sz w:val="26"/>
                <w:lang w:val="vi-VN"/>
              </w:rPr>
              <w:t xml:space="preserve">       </w:t>
            </w:r>
            <w:r>
              <w:rPr>
                <w:i/>
                <w:color w:val="000000"/>
                <w:sz w:val="26"/>
              </w:rPr>
              <w:t>Thành phố Hồ Chí Minh</w:t>
            </w:r>
            <w:r>
              <w:rPr>
                <w:i/>
                <w:color w:val="000000"/>
                <w:sz w:val="28"/>
                <w:szCs w:val="28"/>
                <w:lang w:val="vi-VN"/>
              </w:rPr>
              <w:t xml:space="preserve">, ngày   tháng </w:t>
            </w:r>
            <w:r>
              <w:rPr>
                <w:i/>
                <w:color w:val="000000"/>
                <w:sz w:val="28"/>
                <w:szCs w:val="28"/>
              </w:rPr>
              <w:t xml:space="preserve"> </w:t>
            </w:r>
            <w:r>
              <w:rPr>
                <w:i/>
                <w:color w:val="000000"/>
                <w:sz w:val="28"/>
                <w:szCs w:val="28"/>
                <w:lang w:val="vi-VN"/>
              </w:rPr>
              <w:t xml:space="preserve"> năm 20</w:t>
            </w:r>
            <w:r>
              <w:rPr>
                <w:i/>
                <w:color w:val="000000"/>
                <w:sz w:val="28"/>
                <w:szCs w:val="28"/>
              </w:rPr>
              <w:t>26</w:t>
            </w:r>
          </w:p>
        </w:tc>
      </w:tr>
    </w:tbl>
    <w:p>
      <w:pPr>
        <w:pStyle w:val="Heading1"/>
        <w:ind w:hanging="0" w:left="0"/>
        <w:rPr>
          <w:rFonts w:ascii="Times New Roman" w:hAnsi="Times New Roman" w:cs="Times New Roman"/>
          <w:i/>
          <w:color w:val="000000"/>
          <w:sz w:val="28"/>
          <w:u w:val="single"/>
          <w:lang w:val="vi-VN"/>
        </w:rPr>
      </w:pPr>
      <w:r>
        <w:rPr>
          <w:rFonts w:cs="Times New Roman" w:ascii="Times New Roman" w:hAnsi="Times New Roman"/>
          <w:i/>
          <w:color w:val="000000"/>
          <w:sz w:val="28"/>
          <w:u w:val="single"/>
          <w:lang w:val="vi-VN" w:eastAsia="vi-VN"/>
        </w:rPr>
      </w:r>
      <w:r>
        <mc:AlternateContent>
          <mc:Choice Requires="wps">
            <w:drawing>
              <wp:anchor distT="0" distB="0" distL="114935" distR="114935" simplePos="0" relativeHeight="4" behindDoc="0" locked="0" layoutInCell="1" allowOverlap="1">
                <wp:simplePos x="0" y="0"/>
                <wp:positionH relativeFrom="column">
                  <wp:posOffset>-84455</wp:posOffset>
                </wp:positionH>
                <wp:positionV relativeFrom="paragraph">
                  <wp:posOffset>186690</wp:posOffset>
                </wp:positionV>
                <wp:extent cx="942340" cy="323215"/>
                <wp:effectExtent l="0" t="0" r="0" b="0"/>
                <wp:wrapNone/>
                <wp:docPr id="3" name="Frame1"/>
                <a:graphic xmlns:a="http://schemas.openxmlformats.org/drawingml/2006/main">
                  <a:graphicData uri="http://schemas.microsoft.com/office/word/2010/wordprocessingShape">
                    <wps:wsp>
                      <wps:cNvSpPr txBox="1"/>
                      <wps:spPr>
                        <a:xfrm>
                          <a:off x="0" y="0"/>
                          <a:ext cx="942340" cy="323215"/>
                        </a:xfrm>
                        <a:prstGeom prst="rect"/>
                        <a:solidFill>
                          <a:srgbClr val="FFFFFF"/>
                        </a:solidFill>
                        <a:ln w="9525">
                          <a:solidFill>
                            <a:srgbClr val="000000"/>
                          </a:solidFill>
                        </a:ln>
                      </wps:spPr>
                      <wps:txbx>
                        <w:txbxContent>
                          <w:p>
                            <w:pPr>
                              <w:pStyle w:val="Normal"/>
                              <w:rPr>
                                <w:b/>
                                <w:bCs/>
                              </w:rPr>
                            </w:pPr>
                            <w:r>
                              <w:rPr>
                                <w:b/>
                                <w:bCs/>
                              </w:rPr>
                              <w:t>DỰ THẢO</w:t>
                            </w:r>
                          </w:p>
                        </w:txbxContent>
                      </wps:txbx>
                      <wps:bodyPr anchor="t" lIns="91440" tIns="45720" rIns="91440" bIns="45720">
                        <a:noAutofit/>
                      </wps:bodyPr>
                    </wps:wsp>
                  </a:graphicData>
                </a:graphic>
              </wp:anchor>
            </w:drawing>
          </mc:Choice>
          <mc:Fallback>
            <w:pict>
              <v:rect fillcolor="#FFFFFF" strokecolor="#000000" strokeweight="0pt" style="position:absolute;rotation:-0;width:74.2pt;height:25.45pt;mso-wrap-distance-left:9.05pt;mso-wrap-distance-right:9.05pt;mso-wrap-distance-top:0pt;mso-wrap-distance-bottom:0pt;margin-top:14.7pt;mso-position-vertical-relative:text;margin-left:-6.65pt;mso-position-horizontal-relative:text">
                <v:textbox>
                  <w:txbxContent>
                    <w:p>
                      <w:pPr>
                        <w:pStyle w:val="Normal"/>
                        <w:rPr>
                          <w:b/>
                          <w:bCs/>
                        </w:rPr>
                      </w:pPr>
                      <w:r>
                        <w:rPr>
                          <w:b/>
                          <w:bCs/>
                        </w:rPr>
                        <w:t>DỰ THẢO</w:t>
                      </w:r>
                    </w:p>
                  </w:txbxContent>
                </v:textbox>
                <w10:wrap type="none"/>
              </v:rect>
            </w:pict>
          </mc:Fallback>
        </mc:AlternateContent>
      </w:r>
    </w:p>
    <w:p>
      <w:pPr>
        <w:pStyle w:val="Heading1"/>
        <w:ind w:hanging="0" w:left="0"/>
        <w:jc w:val="center"/>
        <w:rPr>
          <w:rFonts w:ascii="Times New Roman" w:hAnsi="Times New Roman" w:cs="Times New Roman"/>
          <w:i/>
          <w:color w:val="000000"/>
          <w:sz w:val="28"/>
          <w:szCs w:val="28"/>
          <w:u w:val="single"/>
          <w:lang w:val="vi-VN"/>
        </w:rPr>
      </w:pPr>
      <w:r>
        <w:rPr>
          <w:rFonts w:cs="Times New Roman" w:ascii="Times New Roman" w:hAnsi="Times New Roman"/>
          <w:i/>
          <w:color w:val="000000"/>
          <w:sz w:val="28"/>
          <w:szCs w:val="28"/>
          <w:u w:val="single"/>
          <w:lang w:val="vi-VN"/>
        </w:rPr>
      </w:r>
    </w:p>
    <w:p>
      <w:pPr>
        <w:pStyle w:val="Heading1"/>
        <w:spacing w:before="0" w:after="120"/>
        <w:ind w:hanging="0" w:left="0"/>
        <w:jc w:val="center"/>
        <w:rPr>
          <w:rFonts w:ascii="Times New Roman" w:hAnsi="Times New Roman" w:cs="Times New Roman"/>
          <w:color w:val="000000"/>
          <w:sz w:val="28"/>
          <w:szCs w:val="28"/>
          <w:lang w:val="vi-VN"/>
        </w:rPr>
      </w:pPr>
      <w:r>
        <w:rPr>
          <w:rFonts w:cs="Times New Roman" w:ascii="Times New Roman" w:hAnsi="Times New Roman"/>
          <w:color w:val="000000"/>
          <w:sz w:val="28"/>
          <w:szCs w:val="28"/>
          <w:lang w:val="vi-VN"/>
        </w:rPr>
        <w:t>NGHỊ QUYẾT</w:t>
      </w:r>
    </w:p>
    <w:p>
      <w:pPr>
        <w:pStyle w:val="Normal"/>
        <w:jc w:val="center"/>
        <w:rPr>
          <w:b/>
          <w:color w:val="000000"/>
          <w:sz w:val="28"/>
          <w:szCs w:val="28"/>
          <w:shd w:fill="FFFFFF" w:val="clear"/>
        </w:rPr>
      </w:pPr>
      <w:bookmarkStart w:id="0" w:name="_Hlk211912530"/>
      <w:r>
        <w:rPr>
          <w:rFonts w:eastAsia="Calibri"/>
          <w:b/>
          <w:color w:val="000000"/>
          <w:sz w:val="28"/>
          <w:szCs w:val="28"/>
          <w:lang w:val="vi-VN"/>
        </w:rPr>
        <w:t xml:space="preserve">Quy định </w:t>
      </w:r>
      <w:bookmarkStart w:id="1" w:name="loai_1_name"/>
      <w:bookmarkEnd w:id="0"/>
      <w:r>
        <w:rPr>
          <w:b/>
          <w:color w:val="000000"/>
          <w:sz w:val="28"/>
          <w:szCs w:val="28"/>
          <w:shd w:fill="FFFFFF" w:val="clear"/>
        </w:rPr>
        <w:t>về mức thu phí thẩm định hồ sơ cấp giấy chứng nhận quyền sử dụng đất trên địa bàn Thành phố Hồ Chí Minh</w:t>
      </w:r>
      <w:bookmarkEnd w:id="1"/>
    </w:p>
    <w:p>
      <w:pPr>
        <w:pStyle w:val="Normal"/>
        <w:jc w:val="center"/>
        <w:rPr>
          <w:b/>
          <w:bCs/>
          <w:color w:val="000000"/>
          <w:sz w:val="28"/>
          <w:szCs w:val="28"/>
          <w:lang w:val="vi-VN"/>
        </w:rPr>
      </w:pPr>
      <w:r>
        <w:rPr>
          <w:b/>
          <w:bCs/>
          <w:color w:val="000000"/>
          <w:sz w:val="28"/>
          <w:szCs w:val="28"/>
          <w:shd w:fill="FFFFFF" w:val="clear"/>
          <w:lang w:val="vi-VN"/>
        </w:rPr>
      </w:r>
    </w:p>
    <w:p>
      <w:pPr>
        <w:pStyle w:val="Normal"/>
        <w:widowControl w:val="false"/>
        <w:spacing w:before="120" w:after="120"/>
        <w:ind w:firstLine="567" w:right="0"/>
        <w:jc w:val="both"/>
        <w:rPr>
          <w:rFonts w:eastAsia="Calibri"/>
          <w:i/>
          <w:color w:val="000000"/>
          <w:sz w:val="28"/>
          <w:szCs w:val="28"/>
          <w:lang w:val="vi-VN"/>
        </w:rPr>
      </w:pPr>
      <w:bookmarkStart w:id="2" w:name="_Hlk212898934"/>
      <w:r>
        <w:rPr>
          <w:rFonts w:eastAsia="Calibri"/>
          <w:i/>
          <w:color w:val="000000"/>
          <w:sz w:val="28"/>
          <w:szCs w:val="28"/>
          <w:lang w:val="vi-VN"/>
        </w:rPr>
        <w:t>Căn cứ Luật Tổ chức chính quyền địa phương số 72/2025/QH15;</w:t>
      </w:r>
    </w:p>
    <w:p>
      <w:pPr>
        <w:pStyle w:val="Normal"/>
        <w:widowControl w:val="false"/>
        <w:spacing w:before="120" w:after="120"/>
        <w:ind w:firstLine="567" w:right="0"/>
        <w:jc w:val="both"/>
        <w:rPr>
          <w:rFonts w:eastAsia="Calibri"/>
          <w:i/>
          <w:color w:val="000000"/>
          <w:sz w:val="28"/>
          <w:szCs w:val="28"/>
        </w:rPr>
      </w:pPr>
      <w:r>
        <w:rPr>
          <w:rFonts w:eastAsia="Calibri"/>
          <w:i/>
          <w:color w:val="000000"/>
          <w:sz w:val="28"/>
          <w:szCs w:val="28"/>
        </w:rPr>
        <w:t>Căn cứ Luật Ban hành văn bản quy phạm pháp luật số 64/2025/QH15 được sửa đổi, bổ sung bởi Luật số 87/2025/QH15;</w:t>
      </w:r>
    </w:p>
    <w:p>
      <w:pPr>
        <w:pStyle w:val="Normal"/>
        <w:widowControl w:val="false"/>
        <w:spacing w:before="120" w:after="120"/>
        <w:ind w:firstLine="567" w:right="0"/>
        <w:jc w:val="both"/>
        <w:rPr>
          <w:rFonts w:eastAsia="Calibri"/>
          <w:i/>
          <w:color w:val="000000"/>
          <w:sz w:val="28"/>
          <w:szCs w:val="28"/>
        </w:rPr>
      </w:pPr>
      <w:r>
        <w:rPr>
          <w:i/>
          <w:color w:val="000000"/>
          <w:sz w:val="28"/>
          <w:szCs w:val="28"/>
          <w:lang w:val="nl-NL"/>
        </w:rPr>
        <w:t>Căn cứ Luật Phí và lệ phí số 97/2015/QH13;</w:t>
      </w:r>
    </w:p>
    <w:p>
      <w:pPr>
        <w:pStyle w:val="Normal"/>
        <w:widowControl w:val="false"/>
        <w:spacing w:before="120" w:after="120"/>
        <w:ind w:firstLine="567" w:right="0"/>
        <w:jc w:val="both"/>
        <w:rPr>
          <w:rFonts w:eastAsia="Calibri"/>
          <w:i/>
          <w:color w:val="000000"/>
          <w:sz w:val="28"/>
          <w:szCs w:val="28"/>
        </w:rPr>
      </w:pPr>
      <w:r>
        <w:rPr>
          <w:rFonts w:eastAsia="Calibri"/>
          <w:i/>
          <w:color w:val="000000"/>
          <w:sz w:val="28"/>
          <w:szCs w:val="28"/>
        </w:rPr>
        <w:t>Căn cứ Luật Đất đai số 31/2024/QH15;</w:t>
      </w:r>
    </w:p>
    <w:p>
      <w:pPr>
        <w:pStyle w:val="Normal"/>
        <w:widowControl w:val="false"/>
        <w:tabs>
          <w:tab w:val="clear" w:pos="720"/>
          <w:tab w:val="left" w:pos="900" w:leader="none"/>
        </w:tabs>
        <w:spacing w:before="120" w:after="120"/>
        <w:ind w:firstLine="567" w:right="0"/>
        <w:jc w:val="both"/>
        <w:rPr>
          <w:i/>
          <w:iCs/>
          <w:color w:val="000000"/>
          <w:sz w:val="28"/>
          <w:szCs w:val="28"/>
        </w:rPr>
      </w:pPr>
      <w:r>
        <w:rPr>
          <w:bCs/>
          <w:i/>
          <w:iCs/>
          <w:color w:val="000000"/>
          <w:sz w:val="28"/>
          <w:szCs w:val="28"/>
          <w:lang w:val="pt-BR"/>
        </w:rPr>
        <w:t>Căn cứ Nghị quyết 254/2025/QH15 của Quốc hội q</w:t>
      </w:r>
      <w:r>
        <w:rPr>
          <w:i/>
          <w:iCs/>
          <w:color w:val="000000"/>
          <w:sz w:val="28"/>
          <w:szCs w:val="28"/>
        </w:rPr>
        <w:t>uy định một số cơ chế, chính sách tháo gỡ khó khăn, vướng mắc trong tổ chức thi hành Luật Đất đai;</w:t>
      </w:r>
    </w:p>
    <w:p>
      <w:pPr>
        <w:pStyle w:val="Normal"/>
        <w:widowControl w:val="false"/>
        <w:tabs>
          <w:tab w:val="clear" w:pos="720"/>
          <w:tab w:val="left" w:pos="900" w:leader="none"/>
        </w:tabs>
        <w:spacing w:before="120" w:after="120"/>
        <w:ind w:firstLine="567" w:right="0"/>
        <w:jc w:val="both"/>
        <w:rPr>
          <w:bCs/>
          <w:i/>
          <w:iCs/>
          <w:color w:val="000000"/>
          <w:sz w:val="28"/>
          <w:szCs w:val="28"/>
        </w:rPr>
      </w:pPr>
      <w:r>
        <w:rPr>
          <w:bCs/>
          <w:i/>
          <w:iCs/>
          <w:color w:val="000000"/>
          <w:sz w:val="28"/>
          <w:szCs w:val="28"/>
          <w:lang w:val="pt-BR"/>
        </w:rPr>
        <w:t xml:space="preserve">Căn cứ Nghị định 49/2024/NĐ-CP của Chính phủ quy định </w:t>
      </w:r>
      <w:r>
        <w:rPr>
          <w:bCs/>
          <w:i/>
          <w:iCs/>
          <w:color w:val="000000"/>
          <w:sz w:val="28"/>
          <w:szCs w:val="28"/>
        </w:rPr>
        <w:t>chi tiết và hướng dẫn một số điều của Nghị quyết số 254/2025/QH15 của Quốc hội quy định một số cơ chế, chính sách tháo gỡ</w:t>
      </w:r>
      <w:r>
        <w:rPr>
          <w:i/>
          <w:iCs/>
          <w:color w:val="000000"/>
          <w:sz w:val="28"/>
          <w:szCs w:val="28"/>
        </w:rPr>
        <w:t xml:space="preserve"> </w:t>
      </w:r>
      <w:r>
        <w:rPr>
          <w:bCs/>
          <w:i/>
          <w:iCs/>
          <w:color w:val="000000"/>
          <w:sz w:val="28"/>
          <w:szCs w:val="28"/>
        </w:rPr>
        <w:t>khó khăn, vướng mắc trong tổ chức thi hành Luật Đất đai;</w:t>
      </w:r>
    </w:p>
    <w:p>
      <w:pPr>
        <w:pStyle w:val="Normal"/>
        <w:widowControl w:val="false"/>
        <w:spacing w:before="120" w:after="120"/>
        <w:ind w:firstLine="720" w:right="0"/>
        <w:jc w:val="both"/>
        <w:rPr>
          <w:rFonts w:eastAsia="Calibri"/>
          <w:i/>
          <w:color w:val="000000"/>
          <w:sz w:val="28"/>
          <w:szCs w:val="28"/>
        </w:rPr>
      </w:pPr>
      <w:r>
        <w:rPr>
          <w:rFonts w:eastAsia="Calibri"/>
          <w:i/>
          <w:iCs/>
          <w:color w:val="000000"/>
          <w:sz w:val="28"/>
          <w:szCs w:val="28"/>
          <w:lang w:val="vi-VN"/>
        </w:rPr>
        <w:t>Căn cứ Nghị định số </w:t>
      </w:r>
      <w:hyperlink r:id="rId2" w:tgtFrame="_blank">
        <w:r>
          <w:rPr>
            <w:rStyle w:val="Hyperlink"/>
            <w:rFonts w:eastAsia="Calibri"/>
            <w:i/>
            <w:iCs/>
            <w:color w:val="000000"/>
            <w:sz w:val="28"/>
            <w:szCs w:val="28"/>
            <w:u w:val="none"/>
            <w:lang w:val="vi-VN"/>
          </w:rPr>
          <w:t>101/2024/NĐ-CP</w:t>
        </w:r>
      </w:hyperlink>
      <w:r>
        <w:rPr>
          <w:rFonts w:eastAsia="Calibri"/>
          <w:i/>
          <w:iCs/>
          <w:color w:val="000000"/>
          <w:sz w:val="28"/>
          <w:szCs w:val="28"/>
          <w:lang w:val="vi-VN"/>
        </w:rPr>
        <w:t> ngày 29 tháng 7 năm 2024 của Chính phủ Quy định về điều tra cơ bản đất đai; đăng ký cấp giấy chứng nhận quyền sử dụng đất, quyền sở hữu tài sản gắn liền với đất và hệ thống thông tin đất đai;</w:t>
      </w:r>
    </w:p>
    <w:p>
      <w:pPr>
        <w:pStyle w:val="Normal"/>
        <w:widowControl w:val="false"/>
        <w:spacing w:before="120" w:after="120"/>
        <w:ind w:firstLine="720" w:right="0"/>
        <w:jc w:val="both"/>
        <w:rPr>
          <w:i/>
          <w:color w:val="000000"/>
          <w:sz w:val="28"/>
          <w:szCs w:val="28"/>
          <w:lang w:val="vi-VN"/>
        </w:rPr>
      </w:pPr>
      <w:r>
        <w:rPr>
          <w:i/>
          <w:color w:val="000000"/>
          <w:sz w:val="28"/>
          <w:szCs w:val="28"/>
          <w:lang w:val="vi-VN"/>
        </w:rPr>
        <w:t>Căn cứ Nghị định 102/2024/NĐ-CP ngày 30 tháng 7 năm 2024 của Chính phủ quy định chi tiết thi hành một số điều của Luật Đất đai;</w:t>
      </w:r>
    </w:p>
    <w:p>
      <w:pPr>
        <w:pStyle w:val="Normal"/>
        <w:widowControl w:val="false"/>
        <w:spacing w:before="120" w:after="120"/>
        <w:ind w:firstLine="567" w:right="0"/>
        <w:jc w:val="both"/>
        <w:rPr>
          <w:rFonts w:eastAsia="Calibri"/>
          <w:i/>
          <w:color w:val="000000"/>
          <w:sz w:val="28"/>
          <w:szCs w:val="28"/>
        </w:rPr>
      </w:pPr>
      <w:r>
        <w:rPr>
          <w:rFonts w:eastAsia="Calibri"/>
          <w:i/>
          <w:color w:val="000000"/>
          <w:sz w:val="28"/>
          <w:szCs w:val="28"/>
        </w:rPr>
        <w:t>Căn cứ Nghị định số 362/2025/NĐ-CP của Chính phủ quy định chi tiết một số điều và biện pháp để tổ chức, hướng dẫn thi hành Luật phí và lệ phí;</w:t>
      </w:r>
    </w:p>
    <w:p>
      <w:pPr>
        <w:pStyle w:val="Normal"/>
        <w:widowControl w:val="false"/>
        <w:tabs>
          <w:tab w:val="clear" w:pos="720"/>
          <w:tab w:val="left" w:pos="900" w:leader="none"/>
        </w:tabs>
        <w:spacing w:before="120" w:after="120"/>
        <w:ind w:firstLine="567" w:right="0"/>
        <w:jc w:val="both"/>
        <w:rPr>
          <w:rFonts w:eastAsia="Calibri"/>
          <w:i/>
          <w:color w:val="000000"/>
          <w:sz w:val="28"/>
          <w:szCs w:val="28"/>
        </w:rPr>
      </w:pPr>
      <w:r>
        <w:rPr>
          <w:bCs/>
          <w:i/>
          <w:color w:val="000000"/>
          <w:sz w:val="28"/>
          <w:szCs w:val="28"/>
          <w:lang w:val="pt-BR"/>
        </w:rPr>
        <w:t xml:space="preserve">  </w:t>
      </w:r>
      <w:r>
        <w:rPr>
          <w:rFonts w:eastAsia="Calibri"/>
          <w:i/>
          <w:color w:val="000000"/>
          <w:sz w:val="28"/>
          <w:szCs w:val="28"/>
        </w:rPr>
        <w:t>Căn cứ Thông tư số 136/2017/TT-BTC của Bộ trưởng Bộ Tài chính quy định lập, quản lý, sử dụng kinh phí chi hoạt động kinh tế đối với các nhiệm vụ chi về tài nguyên môi trường;</w:t>
      </w:r>
    </w:p>
    <w:p>
      <w:pPr>
        <w:pStyle w:val="Normal"/>
        <w:widowControl w:val="false"/>
        <w:spacing w:before="120" w:after="120"/>
        <w:ind w:firstLine="567" w:right="0"/>
        <w:jc w:val="both"/>
        <w:rPr>
          <w:rFonts w:eastAsia="Calibri"/>
          <w:i/>
          <w:color w:val="000000"/>
          <w:sz w:val="28"/>
          <w:szCs w:val="28"/>
        </w:rPr>
      </w:pPr>
      <w:r>
        <w:rPr>
          <w:rFonts w:eastAsia="Calibri"/>
          <w:i/>
          <w:color w:val="000000"/>
          <w:sz w:val="28"/>
          <w:szCs w:val="28"/>
        </w:rPr>
        <w:t xml:space="preserve">Căn cứ Thông tư số 85/2019/TT-BTC của Bộ trưởng Bộ Tài chính hướng dẫn về phí và lệ phí thuộc thẩm quyền quyết định của Hội đồng nhân dân thành phố, thành phố trực thuộc Trung ương được sửa đổi, bổ sung bởi Thông tư số 106/2021/TT-BTC; </w:t>
      </w:r>
    </w:p>
    <w:p>
      <w:pPr>
        <w:pStyle w:val="Normal"/>
        <w:widowControl w:val="false"/>
        <w:spacing w:before="120" w:after="120"/>
        <w:ind w:firstLine="567" w:right="0"/>
        <w:jc w:val="both"/>
        <w:rPr>
          <w:i/>
          <w:color w:val="000000"/>
          <w:sz w:val="28"/>
          <w:szCs w:val="28"/>
        </w:rPr>
      </w:pPr>
      <w:r>
        <w:rPr>
          <w:i/>
          <w:color w:val="000000"/>
          <w:sz w:val="28"/>
          <w:szCs w:val="28"/>
        </w:rPr>
        <w:t>Căn cứ Thông tư số 03/2022/TT-BTNMT ngày 28 tháng 02 năm 2022 của Bộ trưởng Bộ Tài nguyên và Môi trường về việc ban hành qui định kỹ thuật và định mức kinh tế kỹ thuật về công tác thu nhận, lưu trữ, bảo quản và cung cấp thông tin, dữ liệu tài nguyên và môi trường;</w:t>
      </w:r>
    </w:p>
    <w:p>
      <w:pPr>
        <w:pStyle w:val="Normal"/>
        <w:widowControl w:val="false"/>
        <w:spacing w:before="120" w:after="120"/>
        <w:ind w:firstLine="567" w:right="0"/>
        <w:jc w:val="both"/>
        <w:rPr>
          <w:rFonts w:eastAsia="Calibri"/>
          <w:i/>
          <w:color w:val="000000"/>
          <w:sz w:val="28"/>
          <w:szCs w:val="28"/>
        </w:rPr>
      </w:pPr>
      <w:r>
        <w:rPr>
          <w:rFonts w:eastAsia="Calibri"/>
          <w:i/>
          <w:color w:val="000000"/>
          <w:sz w:val="28"/>
          <w:szCs w:val="28"/>
        </w:rPr>
        <w:t>Căn cứ Thông tư số 10/2024/TT-BTNMT của Bộ trưởng Bộ Tài nguyên và Môi trường quy định về hồ sơ địa chính, Giấy chứng nhận quyền sử dụng đất, quyền sở hữu tài sản khác gắn liền với đất;</w:t>
      </w:r>
    </w:p>
    <w:p>
      <w:pPr>
        <w:pStyle w:val="Normal"/>
        <w:widowControl w:val="false"/>
        <w:autoSpaceDE w:val="false"/>
        <w:spacing w:before="120" w:after="120"/>
        <w:ind w:firstLine="567" w:right="0"/>
        <w:jc w:val="both"/>
        <w:rPr>
          <w:rFonts w:ascii="Times New Roman Italic" w:hAnsi="Times New Roman Italic" w:cs="Times New Roman Italic"/>
          <w:i/>
          <w:iCs/>
          <w:color w:val="000000"/>
          <w:spacing w:val="-2"/>
          <w:sz w:val="28"/>
          <w:szCs w:val="28"/>
          <w:lang w:val="vi-VN"/>
        </w:rPr>
      </w:pPr>
      <w:r>
        <w:rPr>
          <w:rFonts w:cs="Times New Roman Italic" w:ascii="Times New Roman Italic" w:hAnsi="Times New Roman Italic"/>
          <w:i/>
          <w:color w:val="000000"/>
          <w:spacing w:val="-2"/>
          <w:sz w:val="28"/>
          <w:szCs w:val="28"/>
        </w:rPr>
        <w:t xml:space="preserve">Căn cứ </w:t>
      </w:r>
      <w:r>
        <w:rPr>
          <w:rFonts w:cs="Times New Roman Italic" w:ascii="Times New Roman Italic" w:hAnsi="Times New Roman Italic"/>
          <w:i/>
          <w:color w:val="000000"/>
          <w:spacing w:val="-2"/>
          <w:sz w:val="28"/>
          <w:szCs w:val="28"/>
          <w:lang w:val="vi-VN"/>
        </w:rPr>
        <w:t>Quyết định số 76/202</w:t>
      </w:r>
      <w:r>
        <w:rPr>
          <w:rFonts w:cs="Times New Roman Italic" w:ascii="Times New Roman Italic" w:hAnsi="Times New Roman Italic"/>
          <w:i/>
          <w:color w:val="000000"/>
          <w:spacing w:val="-2"/>
          <w:sz w:val="28"/>
          <w:szCs w:val="28"/>
        </w:rPr>
        <w:t>6</w:t>
      </w:r>
      <w:r>
        <w:rPr>
          <w:rFonts w:cs="Times New Roman Italic" w:ascii="Times New Roman Italic" w:hAnsi="Times New Roman Italic"/>
          <w:i/>
          <w:color w:val="000000"/>
          <w:spacing w:val="-2"/>
          <w:sz w:val="28"/>
          <w:szCs w:val="28"/>
          <w:lang w:val="vi-VN"/>
        </w:rPr>
        <w:t xml:space="preserve">/QĐ-UBND ngày 02 tháng 10 năm 2026 của </w:t>
      </w:r>
      <w:r>
        <w:rPr>
          <w:rFonts w:cs="Times New Roman Italic" w:ascii="Times New Roman Italic" w:hAnsi="Times New Roman Italic"/>
          <w:i/>
          <w:color w:val="000000"/>
          <w:spacing w:val="-2"/>
          <w:sz w:val="28"/>
          <w:szCs w:val="28"/>
        </w:rPr>
        <w:t>Ủy ban nhân dân</w:t>
      </w:r>
      <w:r>
        <w:rPr>
          <w:rFonts w:cs="Times New Roman Italic" w:ascii="Times New Roman Italic" w:hAnsi="Times New Roman Italic"/>
          <w:i/>
          <w:color w:val="000000"/>
          <w:spacing w:val="-2"/>
          <w:sz w:val="28"/>
          <w:szCs w:val="28"/>
          <w:lang w:val="vi-VN"/>
        </w:rPr>
        <w:t xml:space="preserve"> Thành phố Hồ Chí Minh ban hành Quy định về định mức kinh tế - kỹ thuật đo đạc lập bản đồ địa chính, đăng k</w:t>
      </w:r>
      <w:r>
        <w:rPr>
          <w:rFonts w:cs="Times New Roman Italic" w:ascii="Times New Roman Italic" w:hAnsi="Times New Roman Italic"/>
          <w:i/>
          <w:color w:val="000000"/>
          <w:spacing w:val="-2"/>
          <w:sz w:val="28"/>
          <w:szCs w:val="28"/>
        </w:rPr>
        <w:t>ý</w:t>
      </w:r>
      <w:r>
        <w:rPr>
          <w:rFonts w:cs="Times New Roman Italic" w:ascii="Times New Roman Italic" w:hAnsi="Times New Roman Italic"/>
          <w:i/>
          <w:color w:val="000000"/>
          <w:spacing w:val="-2"/>
          <w:sz w:val="28"/>
          <w:szCs w:val="28"/>
          <w:lang w:val="vi-VN"/>
        </w:rPr>
        <w:t xml:space="preserve"> đất đai, tài sản gắn liền với đất, cấp Giấy chứng nhận quyền sử dụng đất, quyền sở hữu tài sản gắn liền với đất thuộc phạm vi quản lý nhà nước của Ủy ban nhân dân Thành phố Hồ Chí Minh</w:t>
      </w:r>
      <w:r>
        <w:rPr>
          <w:rFonts w:cs="Times New Roman Italic" w:ascii="Times New Roman Italic" w:hAnsi="Times New Roman Italic"/>
          <w:i/>
          <w:color w:val="000000"/>
          <w:spacing w:val="-2"/>
          <w:sz w:val="28"/>
          <w:szCs w:val="28"/>
        </w:rPr>
        <w:t>.</w:t>
      </w:r>
    </w:p>
    <w:p>
      <w:pPr>
        <w:pStyle w:val="Normal"/>
        <w:widowControl w:val="false"/>
        <w:spacing w:before="120" w:after="120"/>
        <w:ind w:firstLine="567" w:right="0"/>
        <w:jc w:val="both"/>
        <w:rPr>
          <w:b/>
          <w:i/>
          <w:color w:val="000000"/>
          <w:sz w:val="28"/>
          <w:szCs w:val="28"/>
          <w:shd w:fill="FFFFFF" w:val="clear"/>
        </w:rPr>
      </w:pPr>
      <w:bookmarkEnd w:id="2"/>
      <w:r>
        <w:rPr>
          <w:rFonts w:eastAsia="Calibri"/>
          <w:i/>
          <w:color w:val="000000"/>
          <w:sz w:val="28"/>
          <w:szCs w:val="28"/>
          <w:lang w:val="vi-VN"/>
        </w:rPr>
        <w:t>Xét Tờ trình s</w:t>
      </w:r>
      <w:r>
        <w:rPr>
          <w:rFonts w:eastAsia="Calibri"/>
          <w:i/>
          <w:color w:val="000000"/>
          <w:sz w:val="28"/>
          <w:szCs w:val="28"/>
        </w:rPr>
        <w:t>ố …</w:t>
      </w:r>
      <w:r>
        <w:rPr>
          <w:rFonts w:eastAsia="Calibri"/>
          <w:i/>
          <w:color w:val="000000"/>
          <w:sz w:val="28"/>
          <w:szCs w:val="28"/>
          <w:lang w:val="vi-VN"/>
        </w:rPr>
        <w:t>/TTr-UBND ngày</w:t>
      </w:r>
      <w:r>
        <w:rPr>
          <w:rFonts w:eastAsia="Calibri"/>
          <w:i/>
          <w:color w:val="000000"/>
          <w:sz w:val="28"/>
          <w:szCs w:val="28"/>
        </w:rPr>
        <w:t xml:space="preserve"> … </w:t>
      </w:r>
      <w:r>
        <w:rPr>
          <w:rFonts w:eastAsia="Calibri"/>
          <w:i/>
          <w:color w:val="000000"/>
          <w:sz w:val="28"/>
          <w:szCs w:val="28"/>
          <w:lang w:val="vi-VN"/>
        </w:rPr>
        <w:t>thán</w:t>
      </w:r>
      <w:r>
        <w:rPr>
          <w:rFonts w:eastAsia="Calibri"/>
          <w:i/>
          <w:color w:val="000000"/>
          <w:sz w:val="28"/>
          <w:szCs w:val="28"/>
        </w:rPr>
        <w:t xml:space="preserve">g … </w:t>
      </w:r>
      <w:r>
        <w:rPr>
          <w:rFonts w:eastAsia="Calibri"/>
          <w:i/>
          <w:color w:val="000000"/>
          <w:sz w:val="28"/>
          <w:szCs w:val="28"/>
          <w:lang w:val="vi-VN"/>
        </w:rPr>
        <w:t>năm 20</w:t>
      </w:r>
      <w:r>
        <w:rPr>
          <w:rFonts w:eastAsia="Calibri"/>
          <w:i/>
          <w:color w:val="000000"/>
          <w:sz w:val="28"/>
          <w:szCs w:val="28"/>
        </w:rPr>
        <w:t>26</w:t>
      </w:r>
      <w:r>
        <w:rPr>
          <w:rFonts w:eastAsia="Calibri"/>
          <w:i/>
          <w:color w:val="000000"/>
          <w:sz w:val="28"/>
          <w:szCs w:val="28"/>
          <w:lang w:val="vi-VN"/>
        </w:rPr>
        <w:t xml:space="preserve"> của Ủy ban nhân dân </w:t>
      </w:r>
      <w:r>
        <w:rPr>
          <w:rFonts w:eastAsia="Calibri"/>
          <w:i/>
          <w:color w:val="000000"/>
          <w:sz w:val="28"/>
          <w:szCs w:val="28"/>
        </w:rPr>
        <w:t>T</w:t>
      </w:r>
      <w:r>
        <w:rPr>
          <w:rFonts w:eastAsia="Calibri"/>
          <w:i/>
          <w:color w:val="000000"/>
          <w:sz w:val="28"/>
          <w:szCs w:val="28"/>
          <w:lang w:val="vi-VN"/>
        </w:rPr>
        <w:t xml:space="preserve">hành phố </w:t>
      </w:r>
      <w:r>
        <w:rPr>
          <w:rFonts w:eastAsia="Calibri"/>
          <w:i/>
          <w:color w:val="000000"/>
          <w:sz w:val="28"/>
          <w:szCs w:val="28"/>
        </w:rPr>
        <w:t>về d</w:t>
      </w:r>
      <w:r>
        <w:rPr>
          <w:rFonts w:eastAsia="Calibri"/>
          <w:i/>
          <w:color w:val="000000"/>
          <w:sz w:val="28"/>
          <w:szCs w:val="28"/>
          <w:lang w:val="vi-VN"/>
        </w:rPr>
        <w:t xml:space="preserve">ự thảo Nghị quyết </w:t>
      </w:r>
      <w:r>
        <w:rPr>
          <w:rFonts w:eastAsia="Calibri"/>
          <w:i/>
          <w:color w:val="000000"/>
          <w:sz w:val="28"/>
          <w:szCs w:val="28"/>
        </w:rPr>
        <w:t>q</w:t>
      </w:r>
      <w:r>
        <w:rPr>
          <w:rFonts w:eastAsia="Calibri"/>
          <w:i/>
          <w:color w:val="000000"/>
          <w:sz w:val="28"/>
          <w:szCs w:val="28"/>
          <w:lang w:val="vi-VN"/>
        </w:rPr>
        <w:t xml:space="preserve">uy định </w:t>
      </w:r>
      <w:r>
        <w:rPr>
          <w:i/>
          <w:color w:val="000000"/>
          <w:sz w:val="28"/>
          <w:szCs w:val="28"/>
          <w:shd w:fill="FFFFFF" w:val="clear"/>
        </w:rPr>
        <w:t>về mức thu phí thẩm định hồ sơ cấp giấy chứng nhận quyền sử dụng đất trên địa bàn Thành phố Hồ Chí Minh</w:t>
      </w:r>
      <w:r>
        <w:rPr>
          <w:rFonts w:eastAsia="Calibri"/>
          <w:i/>
          <w:color w:val="000000"/>
          <w:sz w:val="28"/>
          <w:szCs w:val="28"/>
          <w:lang w:val="vi-VN"/>
        </w:rPr>
        <w:t xml:space="preserve">; </w:t>
      </w:r>
      <w:r>
        <w:rPr>
          <w:rFonts w:eastAsia="Calibri"/>
          <w:i/>
          <w:color w:val="000000"/>
          <w:sz w:val="28"/>
          <w:szCs w:val="28"/>
        </w:rPr>
        <w:t>B</w:t>
      </w:r>
      <w:r>
        <w:rPr>
          <w:rFonts w:eastAsia="Calibri"/>
          <w:i/>
          <w:color w:val="000000"/>
          <w:sz w:val="28"/>
          <w:szCs w:val="28"/>
          <w:lang w:val="vi-VN"/>
        </w:rPr>
        <w:t>áo cáo thẩm tra của Ban Kinh tế Ngân sách</w:t>
      </w:r>
      <w:r>
        <w:rPr>
          <w:rFonts w:eastAsia="Calibri"/>
          <w:i/>
          <w:color w:val="000000"/>
          <w:sz w:val="28"/>
          <w:szCs w:val="28"/>
        </w:rPr>
        <w:t>; ý kiến thảo luận của đại biểu Hội đồng nhân dân tại kỳ họp;</w:t>
      </w:r>
    </w:p>
    <w:p>
      <w:pPr>
        <w:pStyle w:val="Normal"/>
        <w:widowControl w:val="false"/>
        <w:spacing w:before="120" w:after="120"/>
        <w:ind w:firstLine="567" w:right="0"/>
        <w:jc w:val="both"/>
        <w:rPr>
          <w:rFonts w:eastAsia="Calibri"/>
          <w:i/>
          <w:color w:val="000000"/>
          <w:sz w:val="28"/>
          <w:szCs w:val="28"/>
        </w:rPr>
      </w:pPr>
      <w:r>
        <w:rPr>
          <w:rFonts w:eastAsia="Calibri"/>
          <w:i/>
          <w:color w:val="000000"/>
          <w:sz w:val="28"/>
          <w:szCs w:val="28"/>
        </w:rPr>
        <w:t xml:space="preserve">Hội đồng nhân dân ban hành </w:t>
      </w:r>
      <w:r>
        <w:rPr>
          <w:rFonts w:eastAsia="Calibri"/>
          <w:i/>
          <w:color w:val="000000"/>
          <w:sz w:val="28"/>
          <w:szCs w:val="28"/>
          <w:lang w:val="vi-VN"/>
        </w:rPr>
        <w:t xml:space="preserve">Nghị quyết </w:t>
      </w:r>
      <w:r>
        <w:rPr>
          <w:rFonts w:eastAsia="Calibri"/>
          <w:i/>
          <w:color w:val="000000"/>
          <w:sz w:val="28"/>
          <w:szCs w:val="28"/>
        </w:rPr>
        <w:t>q</w:t>
      </w:r>
      <w:r>
        <w:rPr>
          <w:rFonts w:eastAsia="Calibri"/>
          <w:i/>
          <w:color w:val="000000"/>
          <w:sz w:val="28"/>
          <w:szCs w:val="28"/>
          <w:lang w:val="vi-VN"/>
        </w:rPr>
        <w:t xml:space="preserve">uy định </w:t>
      </w:r>
      <w:r>
        <w:rPr>
          <w:i/>
          <w:color w:val="000000"/>
          <w:sz w:val="28"/>
          <w:szCs w:val="28"/>
          <w:shd w:fill="FFFFFF" w:val="clear"/>
        </w:rPr>
        <w:t>về mức thu phí thẩm định hồ sơ cấp giấy chứng nhận quyền sử dụng đất trên địa bàn Thành phố Hồ Chí Minh</w:t>
      </w:r>
      <w:r>
        <w:rPr>
          <w:i/>
          <w:color w:val="000000"/>
          <w:sz w:val="28"/>
          <w:szCs w:val="28"/>
        </w:rPr>
        <w:t>.</w:t>
      </w:r>
    </w:p>
    <w:p>
      <w:pPr>
        <w:pStyle w:val="BodyText"/>
        <w:widowControl w:val="false"/>
        <w:spacing w:before="120" w:after="120"/>
        <w:ind w:firstLine="567" w:right="0"/>
        <w:jc w:val="both"/>
        <w:rPr>
          <w:rFonts w:ascii="Times New Roman" w:hAnsi="Times New Roman" w:eastAsia="Calibri" w:cs="Times New Roman"/>
          <w:b w:val="false"/>
          <w:bCs/>
          <w:iCs/>
          <w:color w:val="000000"/>
          <w:spacing w:val="-4"/>
          <w:sz w:val="28"/>
          <w:szCs w:val="28"/>
          <w:lang w:val="en-US" w:eastAsia="en-US"/>
        </w:rPr>
      </w:pPr>
      <w:bookmarkStart w:id="3" w:name="_Hlk212904559"/>
      <w:r>
        <w:rPr>
          <w:rFonts w:cs="Times New Roman" w:ascii="Times New Roman" w:hAnsi="Times New Roman"/>
          <w:bCs/>
          <w:color w:val="000000"/>
          <w:spacing w:val="-4"/>
          <w:sz w:val="28"/>
          <w:szCs w:val="28"/>
          <w:lang w:val="vi-VN"/>
        </w:rPr>
        <w:t>Điều 1.</w:t>
      </w:r>
      <w:r>
        <w:rPr>
          <w:rFonts w:cs="Times New Roman" w:ascii="Times New Roman" w:hAnsi="Times New Roman"/>
          <w:bCs/>
          <w:color w:val="000000"/>
          <w:spacing w:val="-4"/>
          <w:sz w:val="28"/>
          <w:szCs w:val="28"/>
          <w:lang w:val="en-US"/>
        </w:rPr>
        <w:t xml:space="preserve"> </w:t>
      </w:r>
      <w:r>
        <w:rPr>
          <w:rFonts w:cs="Times New Roman" w:ascii="Times New Roman" w:hAnsi="Times New Roman"/>
          <w:bCs/>
          <w:color w:val="000000"/>
          <w:sz w:val="28"/>
          <w:szCs w:val="28"/>
        </w:rPr>
        <w:t>Phạm vi điều chỉnh</w:t>
      </w:r>
      <w:r>
        <w:rPr>
          <w:rFonts w:cs="Times New Roman" w:ascii="Times New Roman" w:hAnsi="Times New Roman"/>
          <w:bCs/>
          <w:color w:val="000000"/>
          <w:sz w:val="28"/>
          <w:szCs w:val="28"/>
          <w:lang w:val="en-US"/>
        </w:rPr>
        <w:t xml:space="preserve"> và đối tượng áp dụng</w:t>
      </w:r>
    </w:p>
    <w:p>
      <w:pPr>
        <w:pStyle w:val="Normal"/>
        <w:widowControl w:val="false"/>
        <w:spacing w:before="120" w:after="120"/>
        <w:ind w:firstLine="567" w:right="0"/>
        <w:jc w:val="both"/>
        <w:rPr>
          <w:bCs/>
          <w:color w:val="000000"/>
          <w:sz w:val="28"/>
          <w:szCs w:val="28"/>
          <w:lang w:val="vi-VN"/>
        </w:rPr>
      </w:pPr>
      <w:bookmarkStart w:id="4" w:name="_Hlk212903932"/>
      <w:r>
        <w:rPr>
          <w:bCs/>
          <w:color w:val="000000"/>
          <w:sz w:val="28"/>
          <w:szCs w:val="28"/>
        </w:rPr>
        <w:t>1. Phạm vi điều chỉnh</w:t>
      </w:r>
    </w:p>
    <w:p>
      <w:pPr>
        <w:pStyle w:val="Normal"/>
        <w:widowControl w:val="false"/>
        <w:spacing w:before="120" w:after="120"/>
        <w:ind w:firstLine="567" w:right="0"/>
        <w:jc w:val="both"/>
        <w:rPr>
          <w:color w:val="000000"/>
          <w:sz w:val="28"/>
          <w:szCs w:val="28"/>
          <w:shd w:fill="FFFFFF" w:val="clear"/>
        </w:rPr>
      </w:pPr>
      <w:bookmarkStart w:id="5" w:name="_Hlk212904004"/>
      <w:bookmarkEnd w:id="4"/>
      <w:r>
        <w:rPr>
          <w:color w:val="000000"/>
          <w:sz w:val="28"/>
          <w:szCs w:val="28"/>
          <w:shd w:fill="FFFFFF" w:val="clear"/>
        </w:rPr>
        <w:t>Áp dụng đối với các trường hợp giao, cho thuê đất và đăng ký cấp giấy chứng nhận quyền sử dụng đất, quyền sở hữu nhà ở và tài sản gắn liền với đất trên địa bàn Thành phố Hồ Chí Minh.</w:t>
      </w:r>
    </w:p>
    <w:p>
      <w:pPr>
        <w:pStyle w:val="Normal"/>
        <w:widowControl w:val="false"/>
        <w:spacing w:before="120" w:after="120"/>
        <w:ind w:firstLine="567" w:right="0"/>
        <w:jc w:val="both"/>
        <w:rPr>
          <w:color w:val="000000"/>
          <w:sz w:val="28"/>
          <w:szCs w:val="28"/>
        </w:rPr>
      </w:pPr>
      <w:r>
        <w:rPr>
          <w:color w:val="000000"/>
          <w:sz w:val="28"/>
          <w:szCs w:val="28"/>
          <w:lang w:val="vi-VN"/>
        </w:rPr>
        <w:t xml:space="preserve">2. Đối tượng </w:t>
      </w:r>
      <w:r>
        <w:rPr>
          <w:color w:val="000000"/>
          <w:sz w:val="28"/>
          <w:szCs w:val="28"/>
        </w:rPr>
        <w:t>áp dụng</w:t>
      </w:r>
    </w:p>
    <w:p>
      <w:pPr>
        <w:pStyle w:val="Normal"/>
        <w:widowControl w:val="false"/>
        <w:autoSpaceDE w:val="false"/>
        <w:spacing w:before="120" w:after="120"/>
        <w:ind w:firstLine="567" w:right="0"/>
        <w:jc w:val="both"/>
        <w:rPr>
          <w:color w:val="000000"/>
          <w:sz w:val="28"/>
          <w:szCs w:val="28"/>
          <w:shd w:fill="FFFFFF" w:val="clear"/>
        </w:rPr>
      </w:pPr>
      <w:bookmarkStart w:id="6" w:name="_Hlk210896877"/>
      <w:r>
        <w:rPr>
          <w:color w:val="000000"/>
          <w:sz w:val="28"/>
          <w:szCs w:val="28"/>
          <w:shd w:fill="FFFFFF" w:val="clear"/>
        </w:rPr>
        <w:t xml:space="preserve">Các cơ quan, tổ chức, tổ chức tôn giáo, tổ chức tôn giáo trực thuộc, </w:t>
      </w:r>
      <w:r>
        <w:rPr>
          <w:color w:val="000000"/>
          <w:sz w:val="28"/>
          <w:szCs w:val="28"/>
        </w:rPr>
        <w:t xml:space="preserve">tổ chức nước ngoài có chức năng ngoại giao, tổ chức kinh tế có vốn đầu tư nước ngoài, tổ chức nước ngoài, cá nhân nước ngoài (sau đây gọi chung là Tổ chức); </w:t>
      </w:r>
      <w:r>
        <w:rPr>
          <w:color w:val="000000"/>
          <w:sz w:val="28"/>
          <w:szCs w:val="28"/>
          <w:shd w:fill="FFFFFF" w:val="clear"/>
        </w:rPr>
        <w:t>cá nhân, cộng đồng dân cư, người gốc Việt Nam định cư ở nước ngoài (sau đây gọi chung là Cá nhân) sử dụng dịch vụ thẩm định hồ sơ, các điều kiện cần và đủ đảm bảo việc thực hiện giao, cho thuê đất và đăng ký cấp giấy chứng nhận quyền sử dụng đất, quyền sở hữu nhà ở và tài sản gắn liền với đất (bao gồm cấp lần đầu, cấp mới, cấp đổi, cấp lại giấy chứng nhận và chứng nhận biến động vào giấy chứng nhận đã cấp) theo quy định pháp luật.</w:t>
      </w:r>
    </w:p>
    <w:p>
      <w:pPr>
        <w:pStyle w:val="BodyText"/>
        <w:widowControl w:val="false"/>
        <w:spacing w:before="120" w:after="120"/>
        <w:ind w:firstLine="567" w:right="0"/>
        <w:jc w:val="both"/>
        <w:rPr>
          <w:rFonts w:ascii="Times New Roman" w:hAnsi="Times New Roman" w:eastAsia="Calibri" w:cs="Times New Roman"/>
          <w:b w:val="false"/>
          <w:bCs/>
          <w:iCs/>
          <w:color w:val="000000"/>
          <w:spacing w:val="-4"/>
          <w:sz w:val="28"/>
          <w:szCs w:val="28"/>
          <w:lang w:val="en-US" w:eastAsia="en-US"/>
        </w:rPr>
      </w:pPr>
      <w:r>
        <w:rPr>
          <w:rFonts w:cs="Times New Roman" w:ascii="Times New Roman" w:hAnsi="Times New Roman"/>
          <w:bCs/>
          <w:color w:val="000000"/>
          <w:spacing w:val="-4"/>
          <w:sz w:val="28"/>
          <w:szCs w:val="28"/>
          <w:lang w:val="vi-VN"/>
        </w:rPr>
        <w:t>Điều 2.</w:t>
      </w:r>
      <w:r>
        <w:rPr>
          <w:rFonts w:cs="Times New Roman" w:ascii="Times New Roman" w:hAnsi="Times New Roman"/>
          <w:bCs/>
          <w:color w:val="000000"/>
          <w:spacing w:val="-4"/>
          <w:sz w:val="28"/>
          <w:szCs w:val="28"/>
          <w:lang w:val="en-US"/>
        </w:rPr>
        <w:t xml:space="preserve"> </w:t>
      </w:r>
      <w:r>
        <w:rPr>
          <w:rFonts w:cs="Times New Roman" w:ascii="Times New Roman" w:hAnsi="Times New Roman"/>
          <w:bCs/>
          <w:color w:val="000000"/>
          <w:sz w:val="28"/>
          <w:szCs w:val="28"/>
          <w:lang w:val="en-US"/>
        </w:rPr>
        <w:t xml:space="preserve">Mức thu phí: </w:t>
      </w:r>
      <w:r>
        <w:rPr>
          <w:rFonts w:cs="Times New Roman" w:ascii="Times New Roman" w:hAnsi="Times New Roman"/>
          <w:b w:val="false"/>
          <w:bCs/>
          <w:color w:val="000000"/>
          <w:sz w:val="28"/>
          <w:szCs w:val="28"/>
          <w:lang w:val="en-US"/>
        </w:rPr>
        <w:t>T</w:t>
      </w:r>
      <w:r>
        <w:rPr>
          <w:rFonts w:cs="Times New Roman" w:ascii="Times New Roman" w:hAnsi="Times New Roman"/>
          <w:b w:val="false"/>
          <w:color w:val="000000"/>
          <w:sz w:val="28"/>
          <w:szCs w:val="28"/>
          <w:shd w:fill="FFFFFF" w:val="clear"/>
          <w:lang w:val="en-US" w:eastAsia="en-US"/>
        </w:rPr>
        <w:t>heo Phụ lục đính kèm.</w:t>
      </w:r>
      <w:r>
        <w:rPr>
          <w:rFonts w:cs="Times New Roman" w:ascii="Times New Roman" w:hAnsi="Times New Roman"/>
          <w:bCs/>
          <w:color w:val="000000"/>
          <w:sz w:val="28"/>
          <w:szCs w:val="28"/>
          <w:lang w:val="en-US"/>
        </w:rPr>
        <w:t xml:space="preserve"> </w:t>
      </w:r>
    </w:p>
    <w:p>
      <w:pPr>
        <w:pStyle w:val="BodyText"/>
        <w:widowControl w:val="false"/>
        <w:spacing w:before="120" w:after="120"/>
        <w:ind w:firstLine="567" w:right="0"/>
        <w:jc w:val="both"/>
        <w:rPr>
          <w:rFonts w:ascii="Times New Roman" w:hAnsi="Times New Roman" w:cs="Times New Roman"/>
          <w:bCs/>
          <w:color w:val="000000"/>
          <w:sz w:val="28"/>
          <w:szCs w:val="28"/>
          <w:lang w:val="en-US"/>
        </w:rPr>
      </w:pPr>
      <w:r>
        <w:rPr>
          <w:rFonts w:cs="Times New Roman" w:ascii="Times New Roman" w:hAnsi="Times New Roman"/>
          <w:bCs/>
          <w:color w:val="000000"/>
          <w:spacing w:val="-4"/>
          <w:sz w:val="28"/>
          <w:szCs w:val="28"/>
          <w:lang w:val="vi-VN"/>
        </w:rPr>
        <w:t>Điều 3.</w:t>
      </w:r>
      <w:r>
        <w:rPr>
          <w:rFonts w:cs="Times New Roman" w:ascii="Times New Roman" w:hAnsi="Times New Roman"/>
          <w:bCs/>
          <w:color w:val="000000"/>
          <w:spacing w:val="-4"/>
          <w:sz w:val="28"/>
          <w:szCs w:val="28"/>
          <w:lang w:val="en-US"/>
        </w:rPr>
        <w:t xml:space="preserve"> Đối tượng được miễn </w:t>
      </w:r>
      <w:r>
        <w:rPr>
          <w:rFonts w:cs="Times New Roman" w:ascii="Times New Roman" w:hAnsi="Times New Roman"/>
          <w:bCs/>
          <w:color w:val="000000"/>
          <w:sz w:val="28"/>
          <w:szCs w:val="28"/>
          <w:lang w:val="en-US"/>
        </w:rPr>
        <w:t xml:space="preserve"> </w:t>
      </w:r>
    </w:p>
    <w:p>
      <w:pPr>
        <w:pStyle w:val="BodyText"/>
        <w:widowControl w:val="false"/>
        <w:spacing w:before="120" w:after="120"/>
        <w:ind w:firstLine="567" w:right="0"/>
        <w:jc w:val="both"/>
        <w:rPr>
          <w:rFonts w:ascii="Times New Roman" w:hAnsi="Times New Roman" w:cs="Times New Roman"/>
          <w:b w:val="false"/>
          <w:bCs/>
          <w:color w:val="000000"/>
          <w:sz w:val="28"/>
          <w:szCs w:val="28"/>
          <w:shd w:fill="FFFFFF" w:val="clear"/>
          <w:lang w:val="vi-VN"/>
        </w:rPr>
      </w:pPr>
      <w:r>
        <w:rPr>
          <w:rFonts w:cs="Times New Roman" w:ascii="Times New Roman" w:hAnsi="Times New Roman"/>
          <w:b w:val="false"/>
          <w:color w:val="000000"/>
          <w:sz w:val="28"/>
          <w:szCs w:val="28"/>
          <w:shd w:fill="FFFFFF" w:val="clear"/>
        </w:rPr>
        <w:t>Trẻ em, hộ nghèo, người cao tuổi, người khuyết tật, người có công với cách mạng, đồng bào dân tộc thiểu số ở các xã có điều kiện kinh tế - xã hội đặc biệt khó khăn trên địa bàn Thành phố</w:t>
      </w:r>
      <w:r>
        <w:rPr>
          <w:rFonts w:cs="Times New Roman" w:ascii="Times New Roman" w:hAnsi="Times New Roman"/>
          <w:b w:val="false"/>
          <w:color w:val="000000"/>
          <w:sz w:val="28"/>
          <w:szCs w:val="28"/>
          <w:shd w:fill="FFFFFF" w:val="clear"/>
          <w:lang w:val="vi-VN"/>
        </w:rPr>
        <w:t xml:space="preserve"> </w:t>
      </w:r>
      <w:r>
        <w:rPr>
          <w:rFonts w:cs="Times New Roman" w:ascii="Times New Roman" w:hAnsi="Times New Roman"/>
          <w:b w:val="false"/>
          <w:bCs/>
          <w:color w:val="000000"/>
          <w:sz w:val="28"/>
          <w:szCs w:val="28"/>
          <w:shd w:fill="FFFFFF" w:val="clear"/>
        </w:rPr>
        <w:t xml:space="preserve">được căn cứ theo </w:t>
      </w:r>
      <w:r>
        <w:rPr>
          <w:rFonts w:cs="Times New Roman" w:ascii="Times New Roman" w:hAnsi="Times New Roman"/>
          <w:b w:val="false"/>
          <w:bCs/>
          <w:color w:val="000000"/>
          <w:sz w:val="28"/>
          <w:szCs w:val="28"/>
          <w:shd w:fill="FFFFFF" w:val="clear"/>
          <w:lang w:val="en-US"/>
        </w:rPr>
        <w:t>Nghị định số 351/2025/NĐ-CP</w:t>
      </w:r>
      <w:r>
        <w:rPr>
          <w:rFonts w:cs="Times New Roman" w:ascii="Times New Roman" w:hAnsi="Times New Roman"/>
          <w:b w:val="false"/>
          <w:bCs/>
          <w:color w:val="000000"/>
          <w:sz w:val="28"/>
          <w:szCs w:val="28"/>
          <w:shd w:fill="FFFFFF" w:val="clear"/>
          <w:lang w:val="vi-VN"/>
        </w:rPr>
        <w:t xml:space="preserve"> </w:t>
      </w:r>
      <w:r>
        <w:rPr>
          <w:rFonts w:cs="Times New Roman" w:ascii="Times New Roman" w:hAnsi="Times New Roman"/>
          <w:b w:val="false"/>
          <w:bCs/>
          <w:color w:val="000000"/>
          <w:sz w:val="28"/>
          <w:szCs w:val="28"/>
          <w:shd w:fill="FFFFFF" w:val="clear"/>
          <w:lang w:val="en-US"/>
        </w:rPr>
        <w:t>ngày 30 tháng 12 năm 2025</w:t>
      </w:r>
      <w:r>
        <w:rPr>
          <w:rFonts w:cs="Times New Roman" w:ascii="Times New Roman" w:hAnsi="Times New Roman"/>
          <w:b w:val="false"/>
          <w:bCs/>
          <w:color w:val="000000"/>
          <w:sz w:val="28"/>
          <w:szCs w:val="28"/>
          <w:shd w:fill="FFFFFF" w:val="clear"/>
          <w:lang w:val="vi-VN"/>
        </w:rPr>
        <w:t xml:space="preserve"> của Chính phủ về </w:t>
      </w:r>
      <w:r>
        <w:rPr>
          <w:rFonts w:cs="Times New Roman" w:ascii="Times New Roman" w:hAnsi="Times New Roman"/>
          <w:b w:val="false"/>
          <w:bCs/>
          <w:color w:val="000000"/>
          <w:sz w:val="28"/>
          <w:szCs w:val="28"/>
          <w:shd w:fill="FFFFFF" w:val="clear"/>
          <w:lang w:val="en-US"/>
        </w:rPr>
        <w:t>quy định chuẩn nghèo đa chiều quốc gia giai đoạn 2026 – 2030</w:t>
      </w:r>
      <w:r>
        <w:rPr>
          <w:rFonts w:cs="Times New Roman" w:ascii="Times New Roman" w:hAnsi="Times New Roman"/>
          <w:b w:val="false"/>
          <w:bCs/>
          <w:color w:val="000000"/>
          <w:sz w:val="28"/>
          <w:szCs w:val="28"/>
          <w:shd w:fill="FFFFFF" w:val="clear"/>
          <w:lang w:val="vi-VN"/>
        </w:rPr>
        <w:t>.</w:t>
      </w:r>
    </w:p>
    <w:p>
      <w:pPr>
        <w:pStyle w:val="BodyText"/>
        <w:widowControl w:val="false"/>
        <w:spacing w:before="120" w:after="120"/>
        <w:ind w:firstLine="567" w:right="0"/>
        <w:jc w:val="both"/>
        <w:rPr>
          <w:rFonts w:ascii="Times New Roman" w:hAnsi="Times New Roman" w:cs="Times New Roman"/>
          <w:b w:val="false"/>
          <w:bCs/>
          <w:color w:val="000000"/>
          <w:sz w:val="28"/>
          <w:szCs w:val="28"/>
          <w:lang w:val="en-US"/>
        </w:rPr>
      </w:pPr>
      <w:r>
        <w:rPr>
          <w:rFonts w:cs="Times New Roman" w:ascii="Times New Roman" w:hAnsi="Times New Roman"/>
          <w:b w:val="false"/>
          <w:color w:val="000000"/>
          <w:sz w:val="28"/>
          <w:szCs w:val="28"/>
        </w:rPr>
        <w:t>Đăng ký biến động do thay đổi địa giới đơn vị hành chính.</w:t>
      </w:r>
    </w:p>
    <w:p>
      <w:pPr>
        <w:pStyle w:val="BodyText"/>
        <w:widowControl w:val="false"/>
        <w:spacing w:before="120" w:after="120"/>
        <w:ind w:firstLine="567" w:right="0"/>
        <w:jc w:val="both"/>
        <w:rPr>
          <w:rFonts w:ascii="Times New Roman" w:hAnsi="Times New Roman" w:cs="Times New Roman"/>
          <w:bCs/>
          <w:color w:val="000000"/>
          <w:sz w:val="28"/>
          <w:szCs w:val="28"/>
        </w:rPr>
      </w:pPr>
      <w:r>
        <w:rPr>
          <w:rFonts w:cs="Times New Roman" w:ascii="Times New Roman" w:hAnsi="Times New Roman"/>
          <w:bCs/>
          <w:color w:val="000000"/>
          <w:spacing w:val="-4"/>
          <w:sz w:val="28"/>
          <w:szCs w:val="28"/>
          <w:lang w:val="vi-VN"/>
        </w:rPr>
        <w:t xml:space="preserve">Điều </w:t>
      </w:r>
      <w:r>
        <w:rPr>
          <w:rFonts w:cs="Times New Roman" w:ascii="Times New Roman" w:hAnsi="Times New Roman"/>
          <w:bCs/>
          <w:color w:val="000000"/>
          <w:spacing w:val="-4"/>
          <w:sz w:val="28"/>
          <w:szCs w:val="28"/>
          <w:lang w:val="en-US"/>
        </w:rPr>
        <w:t>4</w:t>
      </w:r>
      <w:r>
        <w:rPr>
          <w:rFonts w:cs="Times New Roman" w:ascii="Times New Roman" w:hAnsi="Times New Roman"/>
          <w:bCs/>
          <w:color w:val="000000"/>
          <w:spacing w:val="-4"/>
          <w:sz w:val="28"/>
          <w:szCs w:val="28"/>
          <w:lang w:val="vi-VN"/>
        </w:rPr>
        <w:t>.</w:t>
      </w:r>
      <w:r>
        <w:rPr>
          <w:rFonts w:cs="Times New Roman" w:ascii="Times New Roman" w:hAnsi="Times New Roman"/>
          <w:bCs/>
          <w:color w:val="000000"/>
          <w:spacing w:val="-4"/>
          <w:sz w:val="28"/>
          <w:szCs w:val="28"/>
          <w:lang w:val="en-US"/>
        </w:rPr>
        <w:t xml:space="preserve"> </w:t>
      </w:r>
      <w:r>
        <w:rPr>
          <w:rFonts w:cs="Times New Roman" w:ascii="Times New Roman" w:hAnsi="Times New Roman"/>
          <w:color w:val="000000"/>
          <w:sz w:val="28"/>
          <w:szCs w:val="28"/>
          <w:lang w:val="vi-VN" w:eastAsia="vi-VN"/>
        </w:rPr>
        <w:t>Tổ chức thu, quản lý và sử dụng nguồn thu</w:t>
      </w:r>
    </w:p>
    <w:p>
      <w:pPr>
        <w:pStyle w:val="BodyText"/>
        <w:widowControl w:val="false"/>
        <w:spacing w:before="120" w:after="120"/>
        <w:ind w:firstLine="567" w:right="0"/>
        <w:jc w:val="both"/>
        <w:rPr>
          <w:rFonts w:ascii="Times New Roman" w:hAnsi="Times New Roman" w:cs="Times New Roman"/>
          <w:b w:val="false"/>
          <w:color w:val="000000"/>
          <w:sz w:val="28"/>
          <w:szCs w:val="28"/>
          <w:shd w:fill="FFFFFF" w:val="clear"/>
        </w:rPr>
      </w:pPr>
      <w:r>
        <w:rPr>
          <w:rFonts w:cs="Times New Roman" w:ascii="Times New Roman" w:hAnsi="Times New Roman"/>
          <w:b w:val="false"/>
          <w:color w:val="000000"/>
          <w:sz w:val="28"/>
          <w:szCs w:val="28"/>
          <w:shd w:fill="FFFFFF" w:val="clear"/>
          <w:lang w:val="en-US"/>
        </w:rPr>
        <w:t>1</w:t>
      </w:r>
      <w:r>
        <w:rPr>
          <w:rFonts w:cs="Times New Roman" w:ascii="Times New Roman" w:hAnsi="Times New Roman"/>
          <w:b w:val="false"/>
          <w:color w:val="000000"/>
          <w:sz w:val="28"/>
          <w:szCs w:val="28"/>
          <w:shd w:fill="FFFFFF" w:val="clear"/>
        </w:rPr>
        <w:t xml:space="preserve">. Tổ chức thu phí: </w:t>
      </w:r>
    </w:p>
    <w:p>
      <w:pPr>
        <w:pStyle w:val="NormalWeb"/>
        <w:widowControl w:val="false"/>
        <w:shd w:fill="FFFFFF" w:val="clear"/>
        <w:spacing w:before="120" w:after="120"/>
        <w:ind w:firstLine="567" w:right="0"/>
        <w:jc w:val="both"/>
        <w:rPr>
          <w:color w:val="000000"/>
          <w:sz w:val="28"/>
          <w:szCs w:val="28"/>
        </w:rPr>
      </w:pPr>
      <w:r>
        <w:rPr>
          <w:color w:val="000000"/>
          <w:sz w:val="28"/>
          <w:szCs w:val="28"/>
        </w:rPr>
        <w:t>a) Trường hợp giao, cho thuê đất</w:t>
      </w:r>
    </w:p>
    <w:p>
      <w:pPr>
        <w:pStyle w:val="NormalWeb"/>
        <w:widowControl w:val="false"/>
        <w:shd w:fill="FFFFFF" w:val="clear"/>
        <w:spacing w:before="120" w:after="120"/>
        <w:ind w:firstLine="567" w:right="0"/>
        <w:jc w:val="both"/>
        <w:rPr>
          <w:color w:val="000000"/>
          <w:sz w:val="28"/>
          <w:szCs w:val="28"/>
        </w:rPr>
      </w:pPr>
      <w:r>
        <w:rPr>
          <w:color w:val="000000"/>
          <w:sz w:val="28"/>
          <w:szCs w:val="28"/>
        </w:rPr>
        <w:t>- Đối với C</w:t>
      </w:r>
      <w:r>
        <w:rPr>
          <w:color w:val="000000"/>
          <w:sz w:val="28"/>
          <w:szCs w:val="28"/>
          <w:shd w:fill="FFFFFF" w:val="clear"/>
        </w:rPr>
        <w:t>á nhân:</w:t>
      </w:r>
      <w:r>
        <w:rPr>
          <w:color w:val="000000"/>
          <w:sz w:val="28"/>
          <w:szCs w:val="28"/>
        </w:rPr>
        <w:t xml:space="preserve"> Ủy ban nhân dân phường, xã, đặc khu</w:t>
      </w:r>
      <w:r>
        <w:rPr>
          <w:color w:val="000000"/>
          <w:sz w:val="28"/>
          <w:szCs w:val="28"/>
        </w:rPr>
        <w:t xml:space="preserve"> tổ chức thu.</w:t>
      </w:r>
    </w:p>
    <w:p>
      <w:pPr>
        <w:pStyle w:val="NormalWeb"/>
        <w:widowControl w:val="false"/>
        <w:shd w:fill="FFFFFF" w:val="clear"/>
        <w:spacing w:before="120" w:after="120"/>
        <w:ind w:firstLine="567" w:right="0"/>
        <w:jc w:val="both"/>
        <w:rPr>
          <w:color w:val="000000"/>
          <w:sz w:val="28"/>
          <w:szCs w:val="28"/>
        </w:rPr>
      </w:pPr>
      <w:r>
        <w:rPr>
          <w:color w:val="000000"/>
          <w:sz w:val="28"/>
          <w:szCs w:val="28"/>
        </w:rPr>
        <w:t xml:space="preserve">- Đối với Tổ chức: </w:t>
      </w:r>
      <w:r>
        <w:rPr>
          <w:color w:val="000000"/>
          <w:sz w:val="28"/>
          <w:szCs w:val="28"/>
          <w:shd w:fill="FFFFFF" w:val="clear"/>
        </w:rPr>
        <w:t xml:space="preserve">Sở Nông nghiệp và Môi trường </w:t>
      </w:r>
      <w:r>
        <w:rPr>
          <w:color w:val="000000"/>
          <w:sz w:val="28"/>
          <w:szCs w:val="28"/>
        </w:rPr>
        <w:t>tổ chức thu.</w:t>
      </w:r>
    </w:p>
    <w:p>
      <w:pPr>
        <w:pStyle w:val="NormalWeb"/>
        <w:widowControl w:val="false"/>
        <w:shd w:fill="FFFFFF" w:val="clear"/>
        <w:spacing w:before="120" w:after="120"/>
        <w:ind w:firstLine="567" w:right="0"/>
        <w:jc w:val="both"/>
        <w:rPr>
          <w:color w:val="000000"/>
          <w:sz w:val="28"/>
          <w:szCs w:val="28"/>
        </w:rPr>
      </w:pPr>
      <w:r>
        <w:rPr>
          <w:color w:val="000000"/>
          <w:sz w:val="28"/>
          <w:szCs w:val="28"/>
        </w:rPr>
        <w:t xml:space="preserve">b) Trường hợp đăng ký cấp giấy chứng nhận quyền sử dụng đất và tài sản trên đất: </w:t>
      </w:r>
    </w:p>
    <w:p>
      <w:pPr>
        <w:pStyle w:val="Normal"/>
        <w:widowControl w:val="false"/>
        <w:autoSpaceDE w:val="false"/>
        <w:spacing w:before="120" w:after="120"/>
        <w:ind w:firstLine="567" w:right="0"/>
        <w:jc w:val="both"/>
        <w:rPr>
          <w:bCs/>
          <w:color w:val="000000"/>
          <w:sz w:val="28"/>
          <w:szCs w:val="28"/>
        </w:rPr>
      </w:pPr>
      <w:r>
        <w:rPr>
          <w:bCs/>
          <w:color w:val="000000"/>
          <w:sz w:val="28"/>
          <w:szCs w:val="28"/>
        </w:rPr>
        <w:t xml:space="preserve">- Đối với Cá nhân: </w:t>
      </w:r>
      <w:r>
        <w:rPr>
          <w:color w:val="000000"/>
          <w:sz w:val="28"/>
          <w:szCs w:val="28"/>
        </w:rPr>
        <w:t xml:space="preserve">Ủy ban nhân dân phường, xã, đặc khu tổ chức thu </w:t>
      </w:r>
      <w:r>
        <w:rPr>
          <w:bCs/>
          <w:color w:val="000000"/>
          <w:sz w:val="28"/>
          <w:szCs w:val="28"/>
        </w:rPr>
        <w:t>đăng ký, cấp Giấy chứng nhận lần đầu đồng loạt và đơn lẻ;</w:t>
      </w:r>
      <w:r>
        <w:rPr>
          <w:color w:val="000000"/>
          <w:sz w:val="28"/>
          <w:szCs w:val="28"/>
        </w:rPr>
        <w:t xml:space="preserve"> Sở Nông nghiệp và Môi trường tổ chức thu </w:t>
      </w:r>
      <w:r>
        <w:rPr>
          <w:bCs/>
          <w:color w:val="000000"/>
          <w:sz w:val="28"/>
          <w:szCs w:val="28"/>
        </w:rPr>
        <w:t>đăng ký, cấp đổi, cấp lại Giấy chứng nhận; đăng ký biến động đất đai.</w:t>
      </w:r>
    </w:p>
    <w:p>
      <w:pPr>
        <w:pStyle w:val="Normal"/>
        <w:widowControl w:val="false"/>
        <w:autoSpaceDE w:val="false"/>
        <w:spacing w:before="120" w:after="120"/>
        <w:ind w:firstLine="567" w:right="0"/>
        <w:jc w:val="both"/>
        <w:rPr>
          <w:color w:val="000000"/>
          <w:sz w:val="28"/>
          <w:szCs w:val="28"/>
        </w:rPr>
      </w:pPr>
      <w:r>
        <w:rPr>
          <w:bCs/>
          <w:color w:val="000000"/>
          <w:sz w:val="28"/>
          <w:szCs w:val="28"/>
        </w:rPr>
        <w:t xml:space="preserve">- Đối với Tổ chức: </w:t>
      </w:r>
      <w:r>
        <w:rPr>
          <w:color w:val="000000"/>
          <w:sz w:val="28"/>
          <w:szCs w:val="28"/>
        </w:rPr>
        <w:t>Sở Nông nghiệp và Môi trường tổ chức thu</w:t>
      </w:r>
      <w:r>
        <w:rPr>
          <w:bCs/>
          <w:color w:val="000000"/>
          <w:sz w:val="28"/>
          <w:szCs w:val="28"/>
          <w:lang w:val="vi-VN"/>
        </w:rPr>
        <w:t>.</w:t>
      </w:r>
    </w:p>
    <w:p>
      <w:pPr>
        <w:pStyle w:val="BodyText"/>
        <w:widowControl w:val="false"/>
        <w:spacing w:before="120" w:after="120"/>
        <w:ind w:firstLine="567" w:right="0"/>
        <w:jc w:val="both"/>
        <w:rPr>
          <w:rFonts w:ascii="Times New Roman" w:hAnsi="Times New Roman" w:cs="Times New Roman"/>
          <w:b w:val="false"/>
          <w:bCs/>
          <w:color w:val="000000"/>
          <w:sz w:val="28"/>
          <w:szCs w:val="28"/>
        </w:rPr>
      </w:pPr>
      <w:r>
        <w:rPr>
          <w:rFonts w:cs="Times New Roman" w:ascii="Times New Roman" w:hAnsi="Times New Roman"/>
          <w:b w:val="false"/>
          <w:color w:val="000000"/>
          <w:sz w:val="28"/>
          <w:szCs w:val="28"/>
          <w:shd w:fill="FFFFFF" w:val="clear"/>
          <w:lang w:val="en-US"/>
        </w:rPr>
        <w:t>2</w:t>
      </w:r>
      <w:r>
        <w:rPr>
          <w:rFonts w:cs="Times New Roman" w:ascii="Times New Roman" w:hAnsi="Times New Roman"/>
          <w:b w:val="false"/>
          <w:color w:val="000000"/>
          <w:sz w:val="28"/>
          <w:szCs w:val="28"/>
          <w:shd w:fill="FFFFFF" w:val="clear"/>
        </w:rPr>
        <w:t>. Kê khai, thu, nộp và quyết toán phí</w:t>
      </w:r>
    </w:p>
    <w:p>
      <w:pPr>
        <w:pStyle w:val="Normal"/>
        <w:widowControl w:val="false"/>
        <w:spacing w:before="120" w:after="120"/>
        <w:ind w:firstLine="567" w:right="0"/>
        <w:jc w:val="both"/>
        <w:rPr>
          <w:color w:val="000000"/>
          <w:sz w:val="28"/>
          <w:szCs w:val="28"/>
          <w:shd w:fill="FFFFFF" w:val="clear"/>
        </w:rPr>
      </w:pPr>
      <w:r>
        <w:rPr>
          <w:bCs/>
          <w:color w:val="000000"/>
          <w:sz w:val="28"/>
          <w:szCs w:val="28"/>
          <w:lang w:val="sv-SE"/>
        </w:rPr>
        <w:t xml:space="preserve">a) Tổ chức, cá nhân </w:t>
      </w:r>
      <w:r>
        <w:rPr>
          <w:bCs/>
          <w:color w:val="000000"/>
          <w:sz w:val="28"/>
          <w:szCs w:val="28"/>
        </w:rPr>
        <w:t xml:space="preserve">đề nghị cơ quan nhà nước có thẩm quyền thực hiện phải thực hiện nộp phí trong thời gian 01 ngày làm việc tính từ ngày nhận được thông báo của cơ quan đăng ký về mức phí phải nộp. </w:t>
      </w:r>
    </w:p>
    <w:p>
      <w:pPr>
        <w:pStyle w:val="Normal"/>
        <w:widowControl w:val="false"/>
        <w:spacing w:before="120" w:after="120"/>
        <w:ind w:firstLine="567" w:right="0"/>
        <w:jc w:val="both"/>
        <w:rPr>
          <w:color w:val="000000"/>
          <w:sz w:val="28"/>
          <w:szCs w:val="28"/>
        </w:rPr>
      </w:pPr>
      <w:r>
        <w:rPr>
          <w:bCs/>
          <w:color w:val="000000"/>
          <w:sz w:val="28"/>
          <w:szCs w:val="28"/>
        </w:rPr>
        <w:t>b) Phí được nộp vào tài khoản phí chờ nộp ngân sách của tổ chức thu phí mở tại Kho Bạc Nhà nước.</w:t>
      </w:r>
    </w:p>
    <w:p>
      <w:pPr>
        <w:pStyle w:val="Normal"/>
        <w:widowControl w:val="false"/>
        <w:spacing w:before="120" w:after="120"/>
        <w:ind w:firstLine="567" w:right="0"/>
        <w:jc w:val="both"/>
        <w:rPr>
          <w:bCs/>
          <w:color w:val="000000"/>
          <w:sz w:val="28"/>
          <w:szCs w:val="28"/>
        </w:rPr>
      </w:pPr>
      <w:r>
        <w:rPr>
          <w:bCs/>
          <w:color w:val="000000"/>
          <w:sz w:val="28"/>
          <w:szCs w:val="28"/>
        </w:rPr>
        <w:t>c) Chậm nhất là ngày 05 hàng tháng, tổ chức thu phí phải gửi số tiền phí đã thu của tháng trước vào tài khỏan phí chờ nộp ngân sách mở tại Kho bạc Nhà nước.</w:t>
      </w:r>
    </w:p>
    <w:p>
      <w:pPr>
        <w:pStyle w:val="Normal"/>
        <w:widowControl w:val="false"/>
        <w:spacing w:before="120" w:after="120"/>
        <w:ind w:firstLine="567" w:right="0"/>
        <w:jc w:val="both"/>
        <w:rPr>
          <w:bCs/>
          <w:color w:val="000000"/>
          <w:sz w:val="28"/>
          <w:szCs w:val="28"/>
        </w:rPr>
      </w:pPr>
      <w:r>
        <w:rPr>
          <w:bCs/>
          <w:color w:val="000000"/>
          <w:sz w:val="28"/>
          <w:szCs w:val="28"/>
        </w:rPr>
        <w:t>Tổ chức thu phí thực hiện kê khai, nộp số tiền phí thu được theo tháng, quyết toán theo năm theo qui định tại Luật Quản lý thuế số 108/2025/QH15, Nghị định số 252/2026/NĐ-CP ngày 30 tháng 6 năm 2026 của Chính phủ qui định chi tiết một số điều và biện pháp để tổ chức, hướng dẫn thi hành Luật Quản lý thuế.</w:t>
      </w:r>
    </w:p>
    <w:p>
      <w:pPr>
        <w:pStyle w:val="Normal"/>
        <w:widowControl w:val="false"/>
        <w:tabs>
          <w:tab w:val="clear" w:pos="720"/>
          <w:tab w:val="left" w:pos="900" w:leader="none"/>
        </w:tabs>
        <w:spacing w:before="120" w:after="120"/>
        <w:ind w:firstLine="567" w:right="0"/>
        <w:jc w:val="both"/>
        <w:rPr>
          <w:bCs/>
          <w:color w:val="000000"/>
          <w:sz w:val="28"/>
          <w:szCs w:val="28"/>
        </w:rPr>
      </w:pPr>
      <w:r>
        <w:rPr>
          <w:bCs/>
          <w:color w:val="000000"/>
          <w:sz w:val="28"/>
          <w:szCs w:val="28"/>
        </w:rPr>
        <w:t xml:space="preserve">3. Tỷ lệ trích để lại: </w:t>
      </w:r>
    </w:p>
    <w:p>
      <w:pPr>
        <w:pStyle w:val="Normal"/>
        <w:widowControl w:val="false"/>
        <w:tabs>
          <w:tab w:val="clear" w:pos="720"/>
          <w:tab w:val="left" w:pos="900" w:leader="none"/>
        </w:tabs>
        <w:spacing w:before="120" w:after="120"/>
        <w:ind w:firstLine="567" w:right="0"/>
        <w:jc w:val="both"/>
        <w:rPr>
          <w:iCs/>
          <w:color w:val="000000"/>
          <w:sz w:val="28"/>
          <w:szCs w:val="28"/>
          <w:lang w:val="vi-VN"/>
        </w:rPr>
      </w:pPr>
      <w:r>
        <w:rPr>
          <w:color w:val="000000"/>
          <w:sz w:val="28"/>
          <w:szCs w:val="28"/>
        </w:rPr>
        <w:t>Tổ chức thu phí được</w:t>
      </w:r>
      <w:r>
        <w:rPr>
          <w:iCs/>
          <w:color w:val="000000"/>
          <w:sz w:val="28"/>
          <w:szCs w:val="28"/>
        </w:rPr>
        <w:t xml:space="preserve"> để lại đơn vị 70% số phí thu được để trang trải cho các hoạt động thu phí, nộp ngân sách 30%. </w:t>
      </w:r>
    </w:p>
    <w:p>
      <w:pPr>
        <w:pStyle w:val="Normal"/>
        <w:widowControl w:val="false"/>
        <w:tabs>
          <w:tab w:val="clear" w:pos="720"/>
          <w:tab w:val="left" w:pos="900" w:leader="none"/>
        </w:tabs>
        <w:spacing w:before="120" w:after="120"/>
        <w:ind w:firstLine="567" w:right="0"/>
        <w:jc w:val="both"/>
        <w:rPr>
          <w:i/>
          <w:iCs/>
          <w:color w:val="000000"/>
          <w:sz w:val="28"/>
          <w:szCs w:val="28"/>
        </w:rPr>
      </w:pPr>
      <w:r>
        <w:rPr>
          <w:iCs/>
          <w:color w:val="000000"/>
          <w:sz w:val="28"/>
          <w:szCs w:val="28"/>
        </w:rPr>
        <w:t xml:space="preserve">Việc quản lý và sử dụng số tiền phí để lại thực hiện theo quy định tại Luật Phí và lệ phí số 97/2015/QH13 ngày 25 tháng 11 năm 2015, </w:t>
      </w:r>
      <w:r>
        <w:rPr>
          <w:bCs/>
          <w:iCs/>
          <w:color w:val="000000"/>
          <w:sz w:val="28"/>
          <w:szCs w:val="28"/>
          <w:lang w:val="pt-BR"/>
        </w:rPr>
        <w:t>Nghị định số 362/2025/NĐ-CP ngày 31 tháng 12 năm 2025 của Chính phủ quy định chi tiết một số điều và biện pháp để tổ chức, hướng dẫn thi hành Luật phí và lệ phí</w:t>
      </w:r>
      <w:r>
        <w:rPr>
          <w:iCs/>
          <w:color w:val="000000"/>
          <w:sz w:val="28"/>
          <w:szCs w:val="28"/>
        </w:rPr>
        <w:t xml:space="preserve"> và các qui định hiện hành.</w:t>
      </w:r>
      <w:r>
        <w:rPr>
          <w:b/>
          <w:bCs/>
          <w:i/>
          <w:iCs/>
          <w:color w:val="000000"/>
          <w:sz w:val="28"/>
          <w:szCs w:val="28"/>
        </w:rPr>
        <w:t xml:space="preserve"> </w:t>
      </w:r>
    </w:p>
    <w:p>
      <w:pPr>
        <w:pStyle w:val="Normal"/>
        <w:widowControl w:val="false"/>
        <w:tabs>
          <w:tab w:val="clear" w:pos="720"/>
          <w:tab w:val="left" w:pos="854" w:leader="none"/>
        </w:tabs>
        <w:spacing w:before="120" w:after="120"/>
        <w:ind w:firstLine="567" w:right="0"/>
        <w:jc w:val="both"/>
        <w:rPr>
          <w:iCs/>
          <w:color w:val="000000"/>
          <w:sz w:val="28"/>
          <w:szCs w:val="28"/>
        </w:rPr>
      </w:pPr>
      <w:r>
        <w:rPr>
          <w:iCs/>
          <w:color w:val="000000"/>
          <w:sz w:val="28"/>
          <w:szCs w:val="28"/>
        </w:rPr>
        <w:t xml:space="preserve">4. Nguồn kinh phí thực hiện: </w:t>
      </w:r>
    </w:p>
    <w:p>
      <w:pPr>
        <w:pStyle w:val="Normal"/>
        <w:widowControl w:val="false"/>
        <w:tabs>
          <w:tab w:val="clear" w:pos="720"/>
          <w:tab w:val="left" w:pos="900" w:leader="none"/>
        </w:tabs>
        <w:spacing w:before="120" w:after="120"/>
        <w:ind w:firstLine="567" w:right="0"/>
        <w:jc w:val="both"/>
        <w:rPr>
          <w:iCs/>
          <w:color w:val="000000"/>
          <w:sz w:val="28"/>
          <w:szCs w:val="28"/>
          <w:lang w:val="vi-VN"/>
        </w:rPr>
      </w:pPr>
      <w:r>
        <w:rPr>
          <w:iCs/>
          <w:color w:val="000000"/>
          <w:sz w:val="28"/>
          <w:szCs w:val="28"/>
        </w:rPr>
        <w:t>Sử dụng từ nguồn thu phí được để lại cho tổ chức thu phí theo quy định.</w:t>
      </w:r>
      <w:r>
        <w:rPr>
          <w:iCs/>
          <w:color w:val="000000"/>
          <w:sz w:val="28"/>
          <w:szCs w:val="28"/>
          <w:lang w:val="vi-VN"/>
        </w:rPr>
        <w:t xml:space="preserve"> Trong số phí thu được để lại cho đơn vị thu phí, </w:t>
      </w:r>
      <w:r>
        <w:rPr>
          <w:iCs/>
          <w:color w:val="000000"/>
          <w:sz w:val="28"/>
          <w:szCs w:val="28"/>
        </w:rPr>
        <w:t>3</w:t>
      </w:r>
      <w:r>
        <w:rPr>
          <w:iCs/>
          <w:color w:val="000000"/>
          <w:sz w:val="28"/>
          <w:szCs w:val="28"/>
          <w:lang w:val="vi-VN"/>
        </w:rPr>
        <w:t xml:space="preserve">% </w:t>
      </w:r>
      <w:r>
        <w:rPr>
          <w:iCs/>
          <w:color w:val="000000"/>
          <w:sz w:val="28"/>
          <w:szCs w:val="28"/>
        </w:rPr>
        <w:t xml:space="preserve">số phí thu được </w:t>
      </w:r>
      <w:r>
        <w:rPr>
          <w:iCs/>
          <w:color w:val="000000"/>
          <w:sz w:val="28"/>
          <w:szCs w:val="28"/>
          <w:lang w:val="vi-VN"/>
        </w:rPr>
        <w:t>là phí để lại chi không thường xuyên sử dụng cho</w:t>
      </w:r>
      <w:r>
        <w:rPr>
          <w:iCs/>
          <w:color w:val="000000"/>
          <w:sz w:val="28"/>
          <w:szCs w:val="28"/>
        </w:rPr>
        <w:t xml:space="preserve"> </w:t>
      </w:r>
      <w:r>
        <w:rPr>
          <w:iCs/>
          <w:color w:val="000000"/>
          <w:sz w:val="28"/>
          <w:szCs w:val="28"/>
          <w:lang w:val="vi-VN"/>
        </w:rPr>
        <w:t>hạ tầng công nghệ thông tin vận hành cơ sở dữ liệu đất đai</w:t>
      </w:r>
      <w:r>
        <w:rPr>
          <w:iCs/>
          <w:color w:val="000000"/>
          <w:sz w:val="28"/>
          <w:szCs w:val="28"/>
        </w:rPr>
        <w:t xml:space="preserve"> và mua sắm, sửa chữa lớn trang thiết bị, phương tiện phục vụ việc thu phí theo dự được duyệt; </w:t>
      </w:r>
      <w:r>
        <w:rPr>
          <w:iCs/>
          <w:color w:val="000000"/>
          <w:sz w:val="28"/>
          <w:szCs w:val="28"/>
          <w:lang w:val="vi-VN"/>
        </w:rPr>
        <w:t>6</w:t>
      </w:r>
      <w:r>
        <w:rPr>
          <w:iCs/>
          <w:color w:val="000000"/>
          <w:sz w:val="28"/>
          <w:szCs w:val="28"/>
        </w:rPr>
        <w:t>7</w:t>
      </w:r>
      <w:r>
        <w:rPr>
          <w:iCs/>
          <w:color w:val="000000"/>
          <w:sz w:val="28"/>
          <w:szCs w:val="28"/>
          <w:lang w:val="vi-VN"/>
        </w:rPr>
        <w:t xml:space="preserve">% </w:t>
      </w:r>
      <w:r>
        <w:rPr>
          <w:iCs/>
          <w:color w:val="000000"/>
          <w:sz w:val="28"/>
          <w:szCs w:val="28"/>
        </w:rPr>
        <w:t xml:space="preserve">số phí thu được </w:t>
      </w:r>
      <w:r>
        <w:rPr>
          <w:iCs/>
          <w:color w:val="000000"/>
          <w:sz w:val="28"/>
          <w:szCs w:val="28"/>
          <w:lang w:val="vi-VN"/>
        </w:rPr>
        <w:t>là phí để lại chi thường xuyên.</w:t>
      </w:r>
    </w:p>
    <w:p>
      <w:pPr>
        <w:pStyle w:val="BodyText"/>
        <w:widowControl w:val="false"/>
        <w:spacing w:before="120" w:after="120"/>
        <w:ind w:firstLine="567" w:right="0"/>
        <w:jc w:val="both"/>
        <w:rPr>
          <w:rFonts w:ascii="Times New Roman" w:hAnsi="Times New Roman" w:cs="Times New Roman"/>
          <w:bCs/>
          <w:color w:val="000000"/>
          <w:spacing w:val="-4"/>
          <w:sz w:val="28"/>
          <w:szCs w:val="28"/>
          <w:lang w:val="en-US"/>
        </w:rPr>
      </w:pPr>
      <w:r>
        <w:rPr>
          <w:rFonts w:cs="Times New Roman" w:ascii="Times New Roman" w:hAnsi="Times New Roman"/>
          <w:bCs/>
          <w:color w:val="000000"/>
          <w:spacing w:val="-4"/>
          <w:sz w:val="28"/>
          <w:szCs w:val="28"/>
          <w:lang w:val="vi-VN"/>
        </w:rPr>
        <w:t xml:space="preserve">Điều </w:t>
      </w:r>
      <w:r>
        <w:rPr>
          <w:rFonts w:cs="Times New Roman" w:ascii="Times New Roman" w:hAnsi="Times New Roman"/>
          <w:bCs/>
          <w:color w:val="000000"/>
          <w:spacing w:val="-4"/>
          <w:sz w:val="28"/>
          <w:szCs w:val="28"/>
          <w:lang w:val="en-US"/>
        </w:rPr>
        <w:t>5</w:t>
      </w:r>
      <w:r>
        <w:rPr>
          <w:rFonts w:cs="Times New Roman" w:ascii="Times New Roman" w:hAnsi="Times New Roman"/>
          <w:bCs/>
          <w:color w:val="000000"/>
          <w:spacing w:val="-4"/>
          <w:sz w:val="28"/>
          <w:szCs w:val="28"/>
          <w:lang w:val="vi-VN"/>
        </w:rPr>
        <w:t>.</w:t>
      </w:r>
      <w:r>
        <w:rPr>
          <w:rFonts w:cs="Times New Roman" w:ascii="Times New Roman" w:hAnsi="Times New Roman"/>
          <w:bCs/>
          <w:color w:val="000000"/>
          <w:spacing w:val="-4"/>
          <w:sz w:val="28"/>
          <w:szCs w:val="28"/>
          <w:lang w:val="en-US"/>
        </w:rPr>
        <w:t xml:space="preserve"> Tổ chức thực hiện</w:t>
      </w:r>
    </w:p>
    <w:p>
      <w:pPr>
        <w:pStyle w:val="BodyText"/>
        <w:widowControl w:val="false"/>
        <w:spacing w:before="120" w:after="120"/>
        <w:ind w:firstLine="567" w:right="0"/>
        <w:jc w:val="both"/>
        <w:rPr>
          <w:rFonts w:ascii="Times New Roman" w:hAnsi="Times New Roman" w:cs="Times New Roman"/>
          <w:b w:val="false"/>
          <w:color w:val="000000"/>
          <w:sz w:val="28"/>
          <w:szCs w:val="28"/>
          <w:lang w:val="en-US" w:eastAsia="en-US"/>
        </w:rPr>
      </w:pPr>
      <w:r>
        <w:rPr>
          <w:rFonts w:cs="Times New Roman" w:ascii="Times New Roman" w:hAnsi="Times New Roman"/>
          <w:b w:val="false"/>
          <w:color w:val="000000"/>
          <w:sz w:val="28"/>
          <w:szCs w:val="28"/>
          <w:lang w:val="en-US" w:eastAsia="en-US"/>
        </w:rPr>
        <w:t>1. Giao Ủy ban nhân dân Thành phố triển khai và tổ chức thực hiện Nghị quyết này thống nhất trên địa bàn Thành phố theo quy định pháp luật.</w:t>
      </w:r>
    </w:p>
    <w:p>
      <w:pPr>
        <w:pStyle w:val="BodyText"/>
        <w:widowControl w:val="false"/>
        <w:spacing w:before="120" w:after="120"/>
        <w:ind w:firstLine="567" w:right="0"/>
        <w:jc w:val="both"/>
        <w:rPr>
          <w:rFonts w:ascii="Times New Roman" w:hAnsi="Times New Roman" w:cs="Times New Roman"/>
          <w:bCs/>
          <w:color w:val="000000"/>
          <w:sz w:val="28"/>
          <w:szCs w:val="28"/>
          <w:lang w:val="en-US"/>
        </w:rPr>
      </w:pPr>
      <w:r>
        <w:rPr>
          <w:rFonts w:cs="Times New Roman" w:ascii="Times New Roman" w:hAnsi="Times New Roman"/>
          <w:b w:val="false"/>
          <w:color w:val="000000"/>
          <w:sz w:val="28"/>
          <w:szCs w:val="28"/>
          <w:lang w:val="en-US" w:eastAsia="en-US"/>
        </w:rPr>
        <w:t>2. Thường trực Hội đồng nhân dân Thành phố, các Ban, các Tổ đại biểu và</w:t>
        <w:br/>
        <w:t>đại biểu Hội đồng nhân dân Thành phố giám sát chặt chẽ quá trình tổ chức triển khai thực hiện Nghị quyết này.</w:t>
      </w:r>
    </w:p>
    <w:p>
      <w:pPr>
        <w:pStyle w:val="BodyText"/>
        <w:widowControl w:val="false"/>
        <w:spacing w:before="120" w:after="120"/>
        <w:ind w:firstLine="567" w:right="0"/>
        <w:jc w:val="both"/>
        <w:rPr>
          <w:rFonts w:ascii="Times New Roman" w:hAnsi="Times New Roman" w:cs="Times New Roman"/>
          <w:bCs/>
          <w:color w:val="000000"/>
          <w:sz w:val="28"/>
          <w:szCs w:val="28"/>
          <w:lang w:val="en-US"/>
        </w:rPr>
      </w:pPr>
      <w:r>
        <w:rPr>
          <w:rFonts w:cs="Times New Roman" w:ascii="Times New Roman" w:hAnsi="Times New Roman"/>
          <w:bCs/>
          <w:color w:val="000000"/>
          <w:spacing w:val="-4"/>
          <w:sz w:val="28"/>
          <w:szCs w:val="28"/>
          <w:lang w:val="vi-VN"/>
        </w:rPr>
        <w:t xml:space="preserve">Điều </w:t>
      </w:r>
      <w:r>
        <w:rPr>
          <w:rFonts w:cs="Times New Roman" w:ascii="Times New Roman" w:hAnsi="Times New Roman"/>
          <w:bCs/>
          <w:color w:val="000000"/>
          <w:spacing w:val="-4"/>
          <w:sz w:val="28"/>
          <w:szCs w:val="28"/>
          <w:lang w:val="en-US"/>
        </w:rPr>
        <w:t>6</w:t>
      </w:r>
      <w:r>
        <w:rPr>
          <w:rFonts w:cs="Times New Roman" w:ascii="Times New Roman" w:hAnsi="Times New Roman"/>
          <w:bCs/>
          <w:color w:val="000000"/>
          <w:spacing w:val="-4"/>
          <w:sz w:val="28"/>
          <w:szCs w:val="28"/>
          <w:lang w:val="vi-VN"/>
        </w:rPr>
        <w:t>.</w:t>
      </w:r>
      <w:r>
        <w:rPr>
          <w:rFonts w:cs="Times New Roman" w:ascii="Times New Roman" w:hAnsi="Times New Roman"/>
          <w:bCs/>
          <w:color w:val="000000"/>
          <w:spacing w:val="-4"/>
          <w:sz w:val="28"/>
          <w:szCs w:val="28"/>
          <w:lang w:val="en-US"/>
        </w:rPr>
        <w:t xml:space="preserve"> Điều khoản thi hành</w:t>
      </w:r>
    </w:p>
    <w:p>
      <w:pPr>
        <w:pStyle w:val="NormalWeb"/>
        <w:widowControl w:val="false"/>
        <w:spacing w:before="120" w:after="120"/>
        <w:ind w:firstLine="567" w:right="0"/>
        <w:jc w:val="both"/>
        <w:rPr>
          <w:bCs/>
          <w:iCs/>
          <w:color w:val="000000"/>
          <w:sz w:val="28"/>
          <w:szCs w:val="28"/>
        </w:rPr>
      </w:pPr>
      <w:r>
        <w:rPr>
          <w:bCs/>
          <w:iCs/>
          <w:color w:val="000000"/>
          <w:sz w:val="28"/>
          <w:szCs w:val="28"/>
        </w:rPr>
        <w:t>1. Nghị quyết này có hiệu lực thi hành từ ngày …. tháng …. năm 2026.</w:t>
      </w:r>
    </w:p>
    <w:p>
      <w:pPr>
        <w:pStyle w:val="NormalWeb"/>
        <w:widowControl w:val="false"/>
        <w:spacing w:before="120" w:after="120"/>
        <w:ind w:firstLine="567" w:right="0"/>
        <w:jc w:val="both"/>
        <w:rPr>
          <w:bCs/>
          <w:iCs/>
          <w:color w:val="000000"/>
          <w:sz w:val="28"/>
          <w:szCs w:val="28"/>
        </w:rPr>
      </w:pPr>
      <w:r>
        <w:rPr>
          <w:bCs/>
          <w:iCs/>
          <w:color w:val="000000"/>
          <w:sz w:val="28"/>
          <w:szCs w:val="28"/>
        </w:rPr>
        <w:t>2. Nghị quyết này bãi bỏ các Nghị quyết sau:</w:t>
      </w:r>
    </w:p>
    <w:p>
      <w:pPr>
        <w:pStyle w:val="Normal"/>
        <w:widowControl w:val="false"/>
        <w:spacing w:before="120" w:after="120"/>
        <w:ind w:firstLine="567" w:right="0"/>
        <w:jc w:val="both"/>
        <w:rPr>
          <w:color w:val="000000"/>
          <w:sz w:val="28"/>
          <w:szCs w:val="28"/>
        </w:rPr>
      </w:pPr>
      <w:r>
        <w:rPr>
          <w:color w:val="000000"/>
          <w:sz w:val="28"/>
          <w:szCs w:val="28"/>
        </w:rPr>
        <w:t xml:space="preserve">a) Nghị quyết số 02/2023/NQ-HĐND ngày 18 tháng 4 năm 2023 của Hội đồng nhân dân Thành phố Hồ Chí Minh </w:t>
      </w:r>
      <w:r>
        <w:rPr>
          <w:color w:val="000000"/>
          <w:sz w:val="28"/>
          <w:szCs w:val="28"/>
          <w:shd w:fill="FFFFFF" w:val="clear"/>
        </w:rPr>
        <w:t>về mức thu phí thẩm định hồ sơ cấp giấy chứng nhận quyền sử dụng đất trên địa bàn Thành phố Hồ Chí Minh</w:t>
      </w:r>
    </w:p>
    <w:p>
      <w:pPr>
        <w:pStyle w:val="Default"/>
        <w:widowControl w:val="false"/>
        <w:spacing w:before="120" w:after="120"/>
        <w:ind w:firstLine="567" w:right="0"/>
        <w:jc w:val="both"/>
        <w:rPr>
          <w:sz w:val="28"/>
          <w:szCs w:val="28"/>
        </w:rPr>
      </w:pPr>
      <w:r>
        <w:rPr>
          <w:sz w:val="28"/>
          <w:szCs w:val="28"/>
        </w:rPr>
        <w:t xml:space="preserve">b) Nghị quyết số 13/2020/NQ-HĐND ngày 10 tháng 12 năm 2020 của Hội đồng nhân dân tỉnh Bình Dương về mức thu, chế độ thu, nộp, quản lý và sử dụng </w:t>
      </w:r>
      <w:r>
        <w:rPr>
          <w:bCs/>
          <w:sz w:val="28"/>
          <w:szCs w:val="28"/>
        </w:rPr>
        <w:t>phí thẩm định hồ sơ cấp Giấy chứng nhận quyền sử dụng đất trên địa bàn tỉnh Bình Dương;</w:t>
      </w:r>
    </w:p>
    <w:p>
      <w:pPr>
        <w:pStyle w:val="Normal"/>
        <w:widowControl w:val="false"/>
        <w:spacing w:before="120" w:after="120"/>
        <w:ind w:firstLine="567" w:right="0"/>
        <w:jc w:val="both"/>
        <w:rPr>
          <w:color w:val="000000"/>
          <w:sz w:val="28"/>
          <w:szCs w:val="28"/>
        </w:rPr>
      </w:pPr>
      <w:r>
        <w:rPr>
          <w:color w:val="000000"/>
          <w:sz w:val="28"/>
          <w:szCs w:val="28"/>
        </w:rPr>
        <w:t>c) Nghị quyết số 19/2020/NQ-HĐND ngày 13 tháng 12 năm 2020 của Hội đồng nhân dân tỉnh Bà Rịa - Vũng Tàu quy định mức thu, nộp, quản lý và sử dụng phí thẩm định hồ sơ cấp giấy chứng nhận quyền sử dụng đất trên địa bàn tỉnh Bà Rịa – Vũng Tàu.</w:t>
      </w:r>
    </w:p>
    <w:p>
      <w:pPr>
        <w:pStyle w:val="Normal"/>
        <w:widowControl w:val="false"/>
        <w:spacing w:before="120" w:after="120"/>
        <w:ind w:firstLine="567" w:right="0"/>
        <w:jc w:val="both"/>
        <w:rPr>
          <w:color w:val="000000"/>
          <w:sz w:val="28"/>
          <w:szCs w:val="28"/>
        </w:rPr>
      </w:pPr>
      <w:r>
        <w:rPr>
          <w:color w:val="000000"/>
          <w:sz w:val="28"/>
          <w:szCs w:val="28"/>
        </w:rPr>
        <w:t xml:space="preserve">d) Nghị quyết số 01/2025/NQ-HĐND ngày 27 tháng 3 năm 2025 của Hội đồng nhân dân tỉnh Bà Rịa - Vũng Tàu </w:t>
      </w:r>
      <w:r>
        <w:rPr>
          <w:color w:val="000000"/>
          <w:sz w:val="28"/>
          <w:szCs w:val="28"/>
          <w:shd w:fill="FFFFFF" w:val="clear"/>
        </w:rPr>
        <w:t xml:space="preserve">sửa đổi, bổ sung một số điều của </w:t>
      </w:r>
      <w:r>
        <w:rPr>
          <w:color w:val="000000"/>
          <w:sz w:val="28"/>
          <w:szCs w:val="28"/>
        </w:rPr>
        <w:t>Nghị quyết số 19/2020/NQ-HĐND ngày 13 tháng 12 năm 2020 của Hội đồng nhân dân tỉnh Bà Rịa - Vũng Tàu quy định mức thu, nộp, quản lý và sử dụng phí thẩm định hồ sơ cấp giấy chứng nhận quyền sử dụng đất trên địa bàn tỉnh Bà Rịa – Vũng Tàu.</w:t>
      </w:r>
    </w:p>
    <w:p>
      <w:pPr>
        <w:pStyle w:val="Normal"/>
        <w:widowControl w:val="false"/>
        <w:spacing w:before="120" w:after="120"/>
        <w:ind w:firstLine="567" w:right="0"/>
        <w:jc w:val="both"/>
        <w:rPr>
          <w:bCs/>
          <w:color w:val="000000"/>
          <w:sz w:val="28"/>
          <w:szCs w:val="28"/>
        </w:rPr>
      </w:pPr>
      <w:r>
        <w:rPr>
          <w:bCs/>
          <w:color w:val="000000"/>
          <w:sz w:val="28"/>
          <w:szCs w:val="28"/>
          <w:lang w:val="pt-BR"/>
        </w:rPr>
        <w:t>3. Trường hợp các văn bản được viễn dẫn, dẫn chiếu tại Nghị quyết này đã được sửa đổi, bổ sung hoặc thay thế thì áp dụng theo các văn bản mới ban hành trừ trường hợp pháp luật có quy định khác.</w:t>
      </w:r>
    </w:p>
    <w:p>
      <w:pPr>
        <w:pStyle w:val="Normal"/>
        <w:widowControl w:val="false"/>
        <w:spacing w:before="120" w:after="120"/>
        <w:ind w:firstLine="567" w:right="0"/>
        <w:jc w:val="both"/>
        <w:rPr>
          <w:color w:val="000000"/>
          <w:spacing w:val="3"/>
          <w:sz w:val="28"/>
          <w:szCs w:val="28"/>
          <w:shd w:fill="FFFFFF" w:val="clear"/>
        </w:rPr>
      </w:pPr>
      <w:r>
        <w:rPr>
          <w:i/>
          <w:iCs/>
          <w:color w:val="000000"/>
          <w:sz w:val="28"/>
          <w:szCs w:val="28"/>
          <w:lang w:val="vi-VN"/>
        </w:rPr>
        <w:t xml:space="preserve">Nghị quyết này đã được Hội đồng nhân dân </w:t>
      </w:r>
      <w:r>
        <w:rPr>
          <w:i/>
          <w:iCs/>
          <w:color w:val="000000"/>
          <w:sz w:val="28"/>
          <w:szCs w:val="28"/>
        </w:rPr>
        <w:t>T</w:t>
      </w:r>
      <w:r>
        <w:rPr>
          <w:i/>
          <w:iCs/>
          <w:color w:val="000000"/>
          <w:sz w:val="28"/>
          <w:szCs w:val="28"/>
          <w:lang w:val="vi-VN"/>
        </w:rPr>
        <w:t xml:space="preserve">hành phố </w:t>
      </w:r>
      <w:r>
        <w:rPr>
          <w:i/>
          <w:iCs/>
          <w:color w:val="000000"/>
          <w:sz w:val="28"/>
          <w:szCs w:val="28"/>
        </w:rPr>
        <w:t>Hồ Chí Minh</w:t>
      </w:r>
      <w:r>
        <w:rPr>
          <w:i/>
          <w:iCs/>
          <w:color w:val="000000"/>
          <w:sz w:val="28"/>
          <w:szCs w:val="28"/>
          <w:lang w:val="vi-VN"/>
        </w:rPr>
        <w:t xml:space="preserve"> Khóa ... Kỳ họp thứ …. </w:t>
      </w:r>
      <w:r>
        <w:rPr>
          <w:i/>
          <w:iCs/>
          <w:color w:val="000000"/>
          <w:sz w:val="28"/>
          <w:szCs w:val="28"/>
        </w:rPr>
        <w:t>t</w:t>
      </w:r>
      <w:r>
        <w:rPr>
          <w:i/>
          <w:iCs/>
          <w:color w:val="000000"/>
          <w:sz w:val="28"/>
          <w:szCs w:val="28"/>
          <w:lang w:val="vi-VN"/>
        </w:rPr>
        <w:t>hông qua ngày … tháng … năm</w:t>
      </w:r>
      <w:r>
        <w:rPr>
          <w:i/>
          <w:iCs/>
          <w:color w:val="000000"/>
          <w:sz w:val="28"/>
          <w:szCs w:val="28"/>
        </w:rPr>
        <w:t>…2026./.</w:t>
      </w:r>
    </w:p>
    <w:p>
      <w:pPr>
        <w:pStyle w:val="Normal"/>
        <w:rPr>
          <w:b/>
          <w:bCs/>
          <w:i/>
          <w:iCs/>
          <w:color w:val="000000"/>
          <w:lang w:val="vi-VN"/>
        </w:rPr>
      </w:pPr>
      <w:r>
        <w:rPr>
          <w:b/>
          <w:bCs/>
          <w:i/>
          <w:iCs/>
          <w:color w:val="000000"/>
          <w:spacing w:val="3"/>
          <w:sz w:val="28"/>
          <w:szCs w:val="28"/>
          <w:shd w:fill="FFFFFF" w:val="clear"/>
          <w:lang w:val="vi-VN"/>
        </w:rPr>
      </w:r>
      <w:bookmarkStart w:id="7" w:name="_Hlk212887460"/>
      <w:bookmarkEnd w:id="3"/>
      <w:bookmarkEnd w:id="5"/>
      <w:bookmarkEnd w:id="6"/>
    </w:p>
    <w:tbl>
      <w:tblPr>
        <w:tblW w:w="9430" w:type="dxa"/>
        <w:jc w:val="left"/>
        <w:tblInd w:w="0" w:type="dxa"/>
        <w:tblLayout w:type="fixed"/>
        <w:tblCellMar>
          <w:top w:w="0" w:type="dxa"/>
          <w:left w:w="108" w:type="dxa"/>
          <w:bottom w:w="0" w:type="dxa"/>
          <w:right w:w="108" w:type="dxa"/>
        </w:tblCellMar>
      </w:tblPr>
      <w:tblGrid>
        <w:gridCol w:w="4786"/>
        <w:gridCol w:w="4644"/>
      </w:tblGrid>
      <w:tr>
        <w:trPr/>
        <w:tc>
          <w:tcPr>
            <w:tcW w:w="4786" w:type="dxa"/>
            <w:tcBorders/>
          </w:tcPr>
          <w:p>
            <w:pPr>
              <w:pStyle w:val="Normal"/>
              <w:rPr>
                <w:b/>
                <w:bCs/>
                <w:i/>
                <w:iCs/>
                <w:color w:val="000000"/>
                <w:lang w:val="vi-VN"/>
              </w:rPr>
            </w:pPr>
            <w:r>
              <w:rPr>
                <w:b/>
                <w:bCs/>
                <w:i/>
                <w:iCs/>
                <w:color w:val="000000"/>
                <w:lang w:val="vi-VN"/>
              </w:rPr>
              <w:t>Nơi nhận:</w:t>
            </w:r>
          </w:p>
          <w:p>
            <w:pPr>
              <w:pStyle w:val="Normal"/>
              <w:rPr>
                <w:bCs/>
                <w:iCs/>
                <w:color w:val="000000"/>
                <w:sz w:val="22"/>
                <w:lang w:val="vi-VN"/>
              </w:rPr>
            </w:pPr>
            <w:r>
              <w:rPr>
                <w:bCs/>
                <w:iCs/>
                <w:color w:val="000000"/>
                <w:sz w:val="22"/>
                <w:lang w:val="vi-VN"/>
              </w:rPr>
              <w:t xml:space="preserve">- Ủy ban </w:t>
            </w:r>
            <w:r>
              <w:rPr>
                <w:bCs/>
                <w:iCs/>
                <w:color w:val="000000"/>
                <w:sz w:val="22"/>
              </w:rPr>
              <w:t>T</w:t>
            </w:r>
            <w:r>
              <w:rPr>
                <w:bCs/>
                <w:iCs/>
                <w:color w:val="000000"/>
                <w:sz w:val="22"/>
                <w:lang w:val="vi-VN"/>
              </w:rPr>
              <w:t>hường vụ Quốc hội;</w:t>
            </w:r>
          </w:p>
          <w:p>
            <w:pPr>
              <w:pStyle w:val="Normal"/>
              <w:rPr>
                <w:bCs/>
                <w:iCs/>
                <w:color w:val="000000"/>
                <w:sz w:val="22"/>
                <w:lang w:val="vi-VN"/>
              </w:rPr>
            </w:pPr>
            <w:r>
              <w:rPr>
                <w:bCs/>
                <w:iCs/>
                <w:color w:val="000000"/>
                <w:sz w:val="22"/>
                <w:lang w:val="vi-VN"/>
              </w:rPr>
              <w:t xml:space="preserve">- </w:t>
            </w:r>
            <w:r>
              <w:rPr>
                <w:bCs/>
                <w:iCs/>
                <w:color w:val="000000"/>
                <w:sz w:val="22"/>
              </w:rPr>
              <w:t>Văn phòng: Quốc hội, Chính phủ</w:t>
            </w:r>
            <w:r>
              <w:rPr>
                <w:bCs/>
                <w:iCs/>
                <w:color w:val="000000"/>
                <w:sz w:val="22"/>
                <w:lang w:val="vi-VN"/>
              </w:rPr>
              <w:t>;</w:t>
            </w:r>
          </w:p>
          <w:p>
            <w:pPr>
              <w:pStyle w:val="Normal"/>
              <w:rPr>
                <w:bCs/>
                <w:iCs/>
                <w:color w:val="000000"/>
                <w:sz w:val="22"/>
              </w:rPr>
            </w:pPr>
            <w:r>
              <w:rPr>
                <w:bCs/>
                <w:iCs/>
                <w:color w:val="000000"/>
                <w:sz w:val="22"/>
              </w:rPr>
              <w:t>- Các Bộ: Nội vụ, Tài chính; Tư pháp; Bộ Nông nghiệp và Môi trường;</w:t>
            </w:r>
          </w:p>
          <w:p>
            <w:pPr>
              <w:pStyle w:val="Normal"/>
              <w:rPr>
                <w:iCs/>
                <w:color w:val="000000"/>
                <w:spacing w:val="-10"/>
              </w:rPr>
            </w:pPr>
            <w:r>
              <w:rPr>
                <w:bCs/>
                <w:iCs/>
                <w:color w:val="000000"/>
                <w:spacing w:val="-10"/>
                <w:sz w:val="22"/>
              </w:rPr>
              <w:t xml:space="preserve">- </w:t>
            </w:r>
            <w:r>
              <w:rPr>
                <w:iCs/>
                <w:color w:val="000000"/>
                <w:spacing w:val="-10"/>
              </w:rPr>
              <w:t>Cục Kiểm tra VB và Tổ chức THPL- Bộ Tư pháp;</w:t>
            </w:r>
          </w:p>
          <w:p>
            <w:pPr>
              <w:pStyle w:val="Normal"/>
              <w:rPr>
                <w:iCs/>
                <w:color w:val="000000"/>
              </w:rPr>
            </w:pPr>
            <w:r>
              <w:rPr>
                <w:iCs/>
                <w:color w:val="000000"/>
              </w:rPr>
              <w:t>- Thường trực Thành ủy;</w:t>
            </w:r>
          </w:p>
          <w:p>
            <w:pPr>
              <w:pStyle w:val="Normal"/>
              <w:rPr>
                <w:iCs/>
                <w:color w:val="000000"/>
              </w:rPr>
            </w:pPr>
            <w:r>
              <w:rPr>
                <w:iCs/>
                <w:color w:val="000000"/>
              </w:rPr>
              <w:t>- Đoàn đại biểu Quốc hội Thành phố;</w:t>
            </w:r>
          </w:p>
          <w:p>
            <w:pPr>
              <w:pStyle w:val="Normal"/>
              <w:rPr>
                <w:iCs/>
                <w:color w:val="000000"/>
              </w:rPr>
            </w:pPr>
            <w:r>
              <w:rPr>
                <w:iCs/>
                <w:color w:val="000000"/>
              </w:rPr>
              <w:t>- Thường trực HĐND, UBND, UBMTTQVN</w:t>
            </w:r>
          </w:p>
          <w:p>
            <w:pPr>
              <w:pStyle w:val="Normal"/>
              <w:rPr>
                <w:iCs/>
                <w:color w:val="000000"/>
              </w:rPr>
            </w:pPr>
            <w:r>
              <w:rPr>
                <w:iCs/>
                <w:color w:val="000000"/>
              </w:rPr>
              <w:t xml:space="preserve">   </w:t>
            </w:r>
            <w:r>
              <w:rPr>
                <w:iCs/>
                <w:color w:val="000000"/>
              </w:rPr>
              <w:t>Thành phố;</w:t>
            </w:r>
          </w:p>
          <w:p>
            <w:pPr>
              <w:pStyle w:val="Normal"/>
              <w:rPr>
                <w:iCs/>
                <w:color w:val="000000"/>
              </w:rPr>
            </w:pPr>
            <w:r>
              <w:rPr>
                <w:iCs/>
                <w:color w:val="000000"/>
              </w:rPr>
              <w:t>- Đại biểu HĐND Thành phố;</w:t>
            </w:r>
          </w:p>
          <w:p>
            <w:pPr>
              <w:pStyle w:val="Normal"/>
              <w:rPr>
                <w:iCs/>
                <w:color w:val="000000"/>
              </w:rPr>
            </w:pPr>
            <w:r>
              <w:rPr>
                <w:iCs/>
                <w:color w:val="000000"/>
              </w:rPr>
              <w:t>- Các Sở, ban, ngành Thành phố;</w:t>
            </w:r>
          </w:p>
          <w:p>
            <w:pPr>
              <w:pStyle w:val="Normal"/>
              <w:rPr>
                <w:iCs/>
                <w:color w:val="000000"/>
              </w:rPr>
            </w:pPr>
            <w:r>
              <w:rPr>
                <w:iCs/>
                <w:color w:val="000000"/>
              </w:rPr>
              <w:t xml:space="preserve">- Văn phòng: Thành ủy, Đoàn ĐBQH&amp;HĐND, </w:t>
            </w:r>
          </w:p>
          <w:p>
            <w:pPr>
              <w:pStyle w:val="Normal"/>
              <w:rPr>
                <w:iCs/>
                <w:color w:val="000000"/>
              </w:rPr>
            </w:pPr>
            <w:r>
              <w:rPr>
                <w:iCs/>
                <w:color w:val="000000"/>
              </w:rPr>
              <w:t xml:space="preserve">   </w:t>
            </w:r>
            <w:r>
              <w:rPr>
                <w:iCs/>
                <w:color w:val="000000"/>
              </w:rPr>
              <w:t>UBND Thành phố;</w:t>
            </w:r>
          </w:p>
          <w:p>
            <w:pPr>
              <w:pStyle w:val="Normal"/>
              <w:rPr>
                <w:iCs/>
                <w:color w:val="000000"/>
              </w:rPr>
            </w:pPr>
            <w:r>
              <w:rPr>
                <w:iCs/>
                <w:color w:val="000000"/>
              </w:rPr>
              <w:t>- Thường trực HĐND, UBND, UBMTTQVN</w:t>
            </w:r>
          </w:p>
          <w:p>
            <w:pPr>
              <w:pStyle w:val="Normal"/>
              <w:rPr>
                <w:iCs/>
                <w:color w:val="000000"/>
              </w:rPr>
            </w:pPr>
            <w:r>
              <w:rPr>
                <w:iCs/>
                <w:color w:val="000000"/>
              </w:rPr>
              <w:t xml:space="preserve">   </w:t>
            </w:r>
            <w:r>
              <w:rPr>
                <w:iCs/>
                <w:color w:val="000000"/>
              </w:rPr>
              <w:t>cấp xã;</w:t>
            </w:r>
          </w:p>
          <w:p>
            <w:pPr>
              <w:pStyle w:val="Normal"/>
              <w:rPr>
                <w:bCs/>
                <w:iCs/>
                <w:color w:val="000000"/>
                <w:sz w:val="22"/>
              </w:rPr>
            </w:pPr>
            <w:r>
              <w:rPr>
                <w:iCs/>
                <w:color w:val="000000"/>
              </w:rPr>
              <w:t>- Trung tâm Thông tin điện tử Thành phố;</w:t>
            </w:r>
          </w:p>
          <w:p>
            <w:pPr>
              <w:pStyle w:val="Normal"/>
              <w:spacing w:before="120" w:after="120"/>
              <w:jc w:val="both"/>
              <w:rPr>
                <w:bCs/>
                <w:color w:val="000000"/>
                <w:sz w:val="28"/>
                <w:szCs w:val="28"/>
                <w:lang w:val="pt-BR"/>
              </w:rPr>
            </w:pPr>
            <w:r>
              <w:rPr>
                <w:bCs/>
                <w:iCs/>
                <w:color w:val="000000"/>
                <w:sz w:val="22"/>
                <w:lang w:val="vi-VN"/>
              </w:rPr>
              <w:t>- Lưu VT</w:t>
            </w:r>
            <w:r>
              <w:rPr>
                <w:bCs/>
                <w:iCs/>
                <w:color w:val="000000"/>
                <w:sz w:val="22"/>
              </w:rPr>
              <w:t>, …</w:t>
            </w:r>
          </w:p>
        </w:tc>
        <w:tc>
          <w:tcPr>
            <w:tcW w:w="4644" w:type="dxa"/>
            <w:tcBorders/>
          </w:tcPr>
          <w:p>
            <w:pPr>
              <w:pStyle w:val="Normal"/>
              <w:ind w:hanging="6" w:right="0"/>
              <w:jc w:val="center"/>
              <w:rPr>
                <w:b/>
                <w:bCs/>
                <w:color w:val="000000"/>
                <w:sz w:val="28"/>
                <w:szCs w:val="28"/>
                <w:lang w:val="vi-VN"/>
              </w:rPr>
            </w:pPr>
            <w:r>
              <w:rPr>
                <w:b/>
                <w:bCs/>
                <w:color w:val="000000"/>
                <w:sz w:val="28"/>
                <w:szCs w:val="28"/>
                <w:lang w:val="vi-VN"/>
              </w:rPr>
              <w:t>CHỦ TỊCH</w:t>
            </w:r>
          </w:p>
        </w:tc>
      </w:tr>
    </w:tbl>
    <w:p>
      <w:pPr>
        <w:sectPr>
          <w:headerReference w:type="default" r:id="rId3"/>
          <w:headerReference w:type="first" r:id="rId4"/>
          <w:footerReference w:type="default" r:id="rId5"/>
          <w:footerReference w:type="first" r:id="rId6"/>
          <w:type w:val="nextPage"/>
          <w:pgSz w:w="11906" w:h="16838"/>
          <w:pgMar w:left="1701" w:right="1134" w:gutter="0" w:header="567" w:top="623" w:footer="340" w:bottom="567"/>
          <w:pgNumType w:fmt="decimal"/>
          <w:formProt w:val="false"/>
          <w:titlePg/>
          <w:textDirection w:val="lrTb"/>
          <w:docGrid w:type="default" w:linePitch="360" w:charSpace="0"/>
        </w:sectPr>
      </w:pPr>
    </w:p>
    <w:p>
      <w:pPr>
        <w:pStyle w:val="Normal"/>
        <w:spacing w:before="120" w:after="0"/>
        <w:jc w:val="center"/>
        <w:rPr>
          <w:b/>
          <w:color w:val="000000"/>
          <w:sz w:val="28"/>
          <w:szCs w:val="28"/>
          <w:lang w:val="nl-NL"/>
        </w:rPr>
      </w:pPr>
      <w:bookmarkEnd w:id="7"/>
      <w:r>
        <w:rPr>
          <w:b/>
          <w:color w:val="000000"/>
          <w:sz w:val="28"/>
          <w:szCs w:val="28"/>
          <w:lang w:val="nl-NL"/>
        </w:rPr>
        <w:t>Phụ lục</w:t>
      </w:r>
    </w:p>
    <w:p>
      <w:pPr>
        <w:pStyle w:val="Normal"/>
        <w:shd w:fill="FFFFFF" w:val="clear"/>
        <w:spacing w:before="120" w:after="120"/>
        <w:jc w:val="center"/>
        <w:rPr>
          <w:b/>
          <w:color w:val="000000"/>
          <w:sz w:val="28"/>
          <w:szCs w:val="28"/>
          <w:shd w:fill="FFFFFF" w:val="clear"/>
        </w:rPr>
      </w:pPr>
      <w:r>
        <w:rPr>
          <w:b/>
          <w:color w:val="000000"/>
          <w:sz w:val="28"/>
          <w:szCs w:val="28"/>
          <w:shd w:fill="FFFFFF" w:val="clear"/>
        </w:rPr>
        <w:t>MỨC THU PHÍ THẨM ĐỊNH HỒ SƠ CẤP GIẤY CHỨNG NHẬN QUYỀN SỬ DỤNG ĐẤT                                                                        TRÊN ĐỊA BÀN THÀNH PHỐ HỒ CHÍ MINH</w:t>
      </w:r>
    </w:p>
    <w:p>
      <w:pPr>
        <w:pStyle w:val="Normal"/>
        <w:shd w:fill="FFFFFF" w:val="clear"/>
        <w:spacing w:before="120" w:after="120"/>
        <w:jc w:val="center"/>
        <w:rPr>
          <w:i/>
          <w:color w:val="000000"/>
          <w:sz w:val="28"/>
          <w:szCs w:val="28"/>
        </w:rPr>
      </w:pPr>
      <w:r>
        <mc:AlternateContent>
          <mc:Choice Requires="wps">
            <w:drawing>
              <wp:anchor distT="0" distB="0" distL="114935" distR="114935" simplePos="0" relativeHeight="5" behindDoc="0" locked="0" layoutInCell="1" allowOverlap="1">
                <wp:simplePos x="0" y="0"/>
                <wp:positionH relativeFrom="column">
                  <wp:posOffset>3845560</wp:posOffset>
                </wp:positionH>
                <wp:positionV relativeFrom="paragraph">
                  <wp:posOffset>248285</wp:posOffset>
                </wp:positionV>
                <wp:extent cx="1205230" cy="1270"/>
                <wp:effectExtent l="635" t="5080" r="635" b="5080"/>
                <wp:wrapNone/>
                <wp:docPr id="4" name=""/>
                <a:graphic xmlns:a="http://schemas.openxmlformats.org/drawingml/2006/main">
                  <a:graphicData uri="http://schemas.microsoft.com/office/word/2010/wordprocessingShape">
                    <wps:wsp>
                      <wps:cNvCnPr/>
                      <wps:spPr>
                        <a:xfrm>
                          <a:off x="0" y="0"/>
                          <a:ext cx="1205640" cy="1440"/>
                        </a:xfrm>
                        <a:prstGeom prst="straightConnector1">
                          <a:avLst/>
                        </a:prstGeom>
                        <a:ln w="9360">
                          <a:solidFill>
                            <a:srgbClr val="000000"/>
                          </a:solidFill>
                          <a:miter/>
                        </a:ln>
                      </wps:spPr>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f" style="position:absolute;margin-left:302.8pt;margin-top:19.55pt;width:94.9pt;height:0.05pt" type="_x0000_t32">
                <v:stroke color="black" weight="9360" joinstyle="miter" endcap="flat"/>
                <v:fill o:detectmouseclick="t" on="false"/>
                <w10:wrap type="none"/>
              </v:shape>
            </w:pict>
          </mc:Fallback>
        </mc:AlternateContent>
      </w:r>
      <w:r>
        <w:rPr>
          <w:i/>
          <w:color w:val="000000"/>
          <w:sz w:val="28"/>
          <w:szCs w:val="28"/>
        </w:rPr>
        <w:t>(Ban hành kèm theo Nghị quyết số …/2026/NQ-HĐND ngày … tháng … năm 2026 của Hội đồng nhân dân Thành phố)</w:t>
      </w:r>
    </w:p>
    <w:p>
      <w:pPr>
        <w:pStyle w:val="Normal"/>
        <w:spacing w:before="120" w:after="0"/>
        <w:ind w:firstLine="567" w:right="0"/>
        <w:jc w:val="center"/>
        <w:rPr>
          <w:b/>
          <w:color w:val="000000"/>
          <w:lang w:val="nl-NL"/>
        </w:rPr>
      </w:pPr>
      <w:r>
        <w:rPr>
          <w:b/>
          <w:i/>
          <w:color w:val="000000"/>
          <w:sz w:val="28"/>
          <w:szCs w:val="28"/>
          <w:lang w:val="nl-NL"/>
        </w:rPr>
      </w:r>
    </w:p>
    <w:p>
      <w:pPr>
        <w:pStyle w:val="Normal"/>
        <w:spacing w:before="120" w:after="120"/>
        <w:ind w:firstLine="567" w:right="0"/>
        <w:jc w:val="both"/>
        <w:rPr>
          <w:b/>
          <w:color w:val="000000"/>
          <w:sz w:val="28"/>
          <w:szCs w:val="28"/>
        </w:rPr>
      </w:pPr>
      <w:r>
        <w:rPr>
          <w:b/>
          <w:color w:val="000000"/>
          <w:sz w:val="28"/>
          <w:szCs w:val="28"/>
          <w:shd w:fill="FFFFFF" w:val="clear"/>
        </w:rPr>
        <w:t>I.</w:t>
      </w:r>
      <w:r>
        <w:rPr>
          <w:b/>
          <w:color w:val="000000"/>
          <w:sz w:val="28"/>
          <w:szCs w:val="28"/>
        </w:rPr>
        <w:t xml:space="preserve"> </w:t>
      </w:r>
      <w:r>
        <w:rPr>
          <w:b/>
          <w:bCs/>
          <w:color w:val="000000"/>
          <w:sz w:val="28"/>
          <w:szCs w:val="28"/>
        </w:rPr>
        <w:t>Trường hợp giao đất, cho thuê đất</w:t>
      </w:r>
    </w:p>
    <w:tbl>
      <w:tblPr>
        <w:tblW w:w="12538" w:type="dxa"/>
        <w:jc w:val="left"/>
        <w:tblInd w:w="675" w:type="dxa"/>
        <w:tblLayout w:type="fixed"/>
        <w:tblCellMar>
          <w:top w:w="0" w:type="dxa"/>
          <w:left w:w="108" w:type="dxa"/>
          <w:bottom w:w="0" w:type="dxa"/>
          <w:right w:w="108" w:type="dxa"/>
        </w:tblCellMar>
      </w:tblPr>
      <w:tblGrid>
        <w:gridCol w:w="820"/>
        <w:gridCol w:w="6693"/>
        <w:gridCol w:w="2552"/>
        <w:gridCol w:w="2473"/>
      </w:tblGrid>
      <w:tr>
        <w:trPr>
          <w:tblHeader w:val="true"/>
        </w:trPr>
        <w:tc>
          <w:tcPr>
            <w:tcW w:w="820" w:type="dxa"/>
            <w:vMerge w:val="restart"/>
            <w:tcBorders>
              <w:top w:val="single" w:sz="4" w:space="0" w:color="000000"/>
              <w:left w:val="single" w:sz="4" w:space="0" w:color="000000"/>
              <w:bottom w:val="single" w:sz="4" w:space="0" w:color="000000"/>
              <w:right w:val="single" w:sz="4" w:space="0" w:color="000000"/>
            </w:tcBorders>
          </w:tcPr>
          <w:p>
            <w:pPr>
              <w:pStyle w:val="Normal"/>
              <w:spacing w:before="80" w:after="80"/>
              <w:jc w:val="center"/>
              <w:rPr>
                <w:b/>
                <w:color w:val="000000"/>
              </w:rPr>
            </w:pPr>
            <w:r>
              <w:rPr>
                <w:b/>
                <w:color w:val="000000"/>
              </w:rPr>
              <w:t>Số</w:t>
            </w:r>
          </w:p>
          <w:p>
            <w:pPr>
              <w:pStyle w:val="Normal"/>
              <w:spacing w:before="80" w:after="80"/>
              <w:jc w:val="center"/>
              <w:rPr>
                <w:b/>
                <w:color w:val="000000"/>
              </w:rPr>
            </w:pPr>
            <w:r>
              <w:rPr>
                <w:b/>
                <w:color w:val="000000"/>
              </w:rPr>
              <w:t>TT</w:t>
            </w:r>
          </w:p>
        </w:tc>
        <w:tc>
          <w:tcPr>
            <w:tcW w:w="6693"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jc w:val="center"/>
              <w:rPr>
                <w:b/>
                <w:color w:val="000000"/>
              </w:rPr>
            </w:pPr>
            <w:r>
              <w:rPr>
                <w:b/>
                <w:color w:val="000000"/>
              </w:rPr>
            </w:r>
          </w:p>
          <w:p>
            <w:pPr>
              <w:pStyle w:val="Normal"/>
              <w:spacing w:before="80" w:after="80"/>
              <w:jc w:val="center"/>
              <w:rPr>
                <w:b/>
                <w:color w:val="000000"/>
              </w:rPr>
            </w:pPr>
            <w:r>
              <w:rPr>
                <w:b/>
                <w:color w:val="000000"/>
              </w:rPr>
              <w:t>Qui mô diện tích (m</w:t>
            </w:r>
            <w:r>
              <w:rPr>
                <w:b/>
                <w:color w:val="000000"/>
                <w:vertAlign w:val="superscript"/>
              </w:rPr>
              <w:t>2</w:t>
            </w:r>
            <w:r>
              <w:rPr>
                <w:b/>
                <w:color w:val="000000"/>
              </w:rPr>
              <w:t>)</w:t>
            </w:r>
          </w:p>
        </w:tc>
        <w:tc>
          <w:tcPr>
            <w:tcW w:w="5025" w:type="dxa"/>
            <w:gridSpan w:val="2"/>
            <w:tcBorders>
              <w:top w:val="single" w:sz="4" w:space="0" w:color="000000"/>
              <w:left w:val="single" w:sz="4" w:space="0" w:color="000000"/>
              <w:bottom w:val="single" w:sz="4" w:space="0" w:color="000000"/>
              <w:right w:val="single" w:sz="4" w:space="0" w:color="000000"/>
            </w:tcBorders>
          </w:tcPr>
          <w:p>
            <w:pPr>
              <w:pStyle w:val="Normal"/>
              <w:spacing w:before="80" w:after="80"/>
              <w:jc w:val="center"/>
              <w:rPr>
                <w:b/>
                <w:color w:val="000000"/>
              </w:rPr>
            </w:pPr>
            <w:r>
              <w:rPr>
                <w:b/>
                <w:color w:val="000000"/>
              </w:rPr>
              <w:t>Mức thu (đồng/hồ sơ)</w:t>
            </w:r>
          </w:p>
        </w:tc>
      </w:tr>
      <w:tr>
        <w:trPr>
          <w:tblHeader w:val="true"/>
        </w:trPr>
        <w:tc>
          <w:tcPr>
            <w:tcW w:w="82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jc w:val="center"/>
              <w:rPr>
                <w:b/>
                <w:color w:val="000000"/>
              </w:rPr>
            </w:pPr>
            <w:r>
              <w:rPr>
                <w:b/>
                <w:color w:val="000000"/>
              </w:rPr>
            </w:r>
          </w:p>
        </w:tc>
        <w:tc>
          <w:tcPr>
            <w:tcW w:w="669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jc w:val="center"/>
              <w:rPr>
                <w:b/>
                <w:color w:val="000000"/>
              </w:rPr>
            </w:pPr>
            <w:r>
              <w:rPr>
                <w:b/>
                <w:color w:val="000000"/>
              </w:rPr>
            </w:r>
          </w:p>
        </w:tc>
        <w:tc>
          <w:tcPr>
            <w:tcW w:w="2552"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b/>
                <w:color w:val="000000"/>
              </w:rPr>
            </w:pPr>
            <w:r>
              <w:rPr>
                <w:b/>
                <w:color w:val="000000"/>
              </w:rPr>
              <w:t>Tại phường</w:t>
            </w:r>
          </w:p>
        </w:tc>
        <w:tc>
          <w:tcPr>
            <w:tcW w:w="2473"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b/>
                <w:color w:val="000000"/>
              </w:rPr>
            </w:pPr>
            <w:r>
              <w:rPr>
                <w:b/>
                <w:color w:val="000000"/>
              </w:rPr>
              <w:t>Tại xã, đặc khu</w:t>
            </w:r>
          </w:p>
        </w:tc>
      </w:tr>
      <w:tr>
        <w:trPr/>
        <w:tc>
          <w:tcPr>
            <w:tcW w:w="820"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b/>
                <w:color w:val="000000"/>
              </w:rPr>
            </w:pPr>
            <w:r>
              <w:rPr>
                <w:b/>
                <w:color w:val="000000"/>
              </w:rPr>
              <w:t>I</w:t>
            </w:r>
          </w:p>
        </w:tc>
        <w:tc>
          <w:tcPr>
            <w:tcW w:w="6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rPr>
                <w:b/>
                <w:color w:val="000000"/>
              </w:rPr>
            </w:pPr>
            <w:r>
              <w:rPr>
                <w:b/>
                <w:color w:val="000000"/>
              </w:rPr>
              <w:t>Đối với Cá nhân</w:t>
            </w:r>
          </w:p>
        </w:tc>
        <w:tc>
          <w:tcPr>
            <w:tcW w:w="255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jc w:val="both"/>
              <w:rPr>
                <w:b/>
                <w:color w:val="000000"/>
              </w:rPr>
            </w:pPr>
            <w:r>
              <w:rPr>
                <w:b/>
                <w:color w:val="000000"/>
              </w:rPr>
            </w:r>
          </w:p>
        </w:tc>
        <w:tc>
          <w:tcPr>
            <w:tcW w:w="247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b/>
                <w:color w:val="000000"/>
              </w:rPr>
            </w:pPr>
            <w:r>
              <w:rPr>
                <w:b/>
                <w:color w:val="000000"/>
              </w:rPr>
            </w:r>
          </w:p>
        </w:tc>
      </w:tr>
      <w:tr>
        <w:trPr>
          <w:trHeight w:val="369" w:hRule="atLeast"/>
        </w:trPr>
        <w:tc>
          <w:tcPr>
            <w:tcW w:w="820"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color w:val="000000"/>
              </w:rPr>
            </w:pPr>
            <w:r>
              <w:rPr>
                <w:color w:val="000000"/>
              </w:rPr>
              <w:t>1</w:t>
            </w:r>
          </w:p>
        </w:tc>
        <w:tc>
          <w:tcPr>
            <w:tcW w:w="6693"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color w:val="000000"/>
              </w:rPr>
            </w:pPr>
            <w:r>
              <w:rPr>
                <w:color w:val="000000"/>
              </w:rPr>
              <w:t>Nhỏ hơn 500m</w:t>
            </w:r>
            <w:r>
              <w:rPr>
                <w:color w:val="000000"/>
                <w:vertAlign w:val="superscript"/>
              </w:rPr>
              <w:t>2</w:t>
            </w:r>
          </w:p>
        </w:tc>
        <w:tc>
          <w:tcPr>
            <w:tcW w:w="2552"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color w:val="000000"/>
              </w:rPr>
            </w:pPr>
            <w:r>
              <w:rPr>
                <w:color w:val="000000"/>
              </w:rPr>
              <w:t>50.000</w:t>
            </w:r>
          </w:p>
        </w:tc>
        <w:tc>
          <w:tcPr>
            <w:tcW w:w="2473"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color w:val="000000"/>
              </w:rPr>
            </w:pPr>
            <w:r>
              <w:rPr>
                <w:color w:val="000000"/>
              </w:rPr>
              <w:t>25.000</w:t>
            </w:r>
          </w:p>
        </w:tc>
      </w:tr>
      <w:tr>
        <w:trPr/>
        <w:tc>
          <w:tcPr>
            <w:tcW w:w="820"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color w:val="000000"/>
              </w:rPr>
            </w:pPr>
            <w:r>
              <w:rPr>
                <w:color w:val="000000"/>
              </w:rPr>
              <w:t>2</w:t>
            </w:r>
          </w:p>
        </w:tc>
        <w:tc>
          <w:tcPr>
            <w:tcW w:w="6693"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color w:val="000000"/>
              </w:rPr>
            </w:pPr>
            <w:r>
              <w:rPr>
                <w:color w:val="000000"/>
              </w:rPr>
              <w:t>Từ 500m</w:t>
            </w:r>
            <w:r>
              <w:rPr>
                <w:color w:val="000000"/>
                <w:vertAlign w:val="superscript"/>
              </w:rPr>
              <w:t>2</w:t>
            </w:r>
            <w:r>
              <w:rPr>
                <w:color w:val="000000"/>
              </w:rPr>
              <w:t xml:space="preserve"> trở lên</w:t>
            </w:r>
          </w:p>
        </w:tc>
        <w:tc>
          <w:tcPr>
            <w:tcW w:w="2552"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color w:val="000000"/>
              </w:rPr>
            </w:pPr>
            <w:r>
              <w:rPr>
                <w:color w:val="000000"/>
              </w:rPr>
              <w:t>500.000</w:t>
            </w:r>
          </w:p>
        </w:tc>
        <w:tc>
          <w:tcPr>
            <w:tcW w:w="2473"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color w:val="000000"/>
              </w:rPr>
            </w:pPr>
            <w:r>
              <w:rPr>
                <w:color w:val="000000"/>
              </w:rPr>
              <w:t>250.000</w:t>
            </w:r>
          </w:p>
        </w:tc>
      </w:tr>
      <w:tr>
        <w:trPr/>
        <w:tc>
          <w:tcPr>
            <w:tcW w:w="820"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b/>
                <w:color w:val="000000"/>
              </w:rPr>
            </w:pPr>
            <w:r>
              <w:rPr>
                <w:b/>
                <w:color w:val="000000"/>
              </w:rPr>
              <w:t>II</w:t>
            </w:r>
          </w:p>
        </w:tc>
        <w:tc>
          <w:tcPr>
            <w:tcW w:w="6693"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b/>
                <w:color w:val="000000"/>
              </w:rPr>
            </w:pPr>
            <w:r>
              <w:rPr>
                <w:b/>
                <w:color w:val="000000"/>
              </w:rPr>
              <w:t>Đối với Tổ chức</w:t>
            </w:r>
          </w:p>
        </w:tc>
        <w:tc>
          <w:tcPr>
            <w:tcW w:w="255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jc w:val="both"/>
              <w:rPr>
                <w:b/>
                <w:color w:val="000000"/>
              </w:rPr>
            </w:pPr>
            <w:r>
              <w:rPr>
                <w:b/>
                <w:color w:val="000000"/>
              </w:rPr>
            </w:r>
          </w:p>
        </w:tc>
        <w:tc>
          <w:tcPr>
            <w:tcW w:w="2473"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jc w:val="both"/>
              <w:rPr>
                <w:b/>
                <w:color w:val="000000"/>
              </w:rPr>
            </w:pPr>
            <w:r>
              <w:rPr>
                <w:b/>
                <w:color w:val="000000"/>
              </w:rPr>
            </w:r>
          </w:p>
        </w:tc>
      </w:tr>
      <w:tr>
        <w:trPr/>
        <w:tc>
          <w:tcPr>
            <w:tcW w:w="820"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color w:val="000000"/>
              </w:rPr>
            </w:pPr>
            <w:r>
              <w:rPr>
                <w:color w:val="000000"/>
              </w:rPr>
              <w:t>1</w:t>
            </w:r>
          </w:p>
        </w:tc>
        <w:tc>
          <w:tcPr>
            <w:tcW w:w="6693"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color w:val="000000"/>
              </w:rPr>
            </w:pPr>
            <w:r>
              <w:rPr>
                <w:color w:val="000000"/>
              </w:rPr>
              <w:t>Nhỏ hơn 10.000m</w:t>
            </w:r>
            <w:r>
              <w:rPr>
                <w:color w:val="000000"/>
                <w:vertAlign w:val="superscript"/>
              </w:rPr>
              <w:t>2</w:t>
            </w:r>
          </w:p>
        </w:tc>
        <w:tc>
          <w:tcPr>
            <w:tcW w:w="5025" w:type="dxa"/>
            <w:gridSpan w:val="2"/>
            <w:tcBorders>
              <w:top w:val="single" w:sz="4" w:space="0" w:color="000000"/>
              <w:left w:val="single" w:sz="4" w:space="0" w:color="000000"/>
              <w:bottom w:val="single" w:sz="4" w:space="0" w:color="000000"/>
              <w:right w:val="single" w:sz="4" w:space="0" w:color="000000"/>
            </w:tcBorders>
          </w:tcPr>
          <w:p>
            <w:pPr>
              <w:pStyle w:val="Normal"/>
              <w:spacing w:before="80" w:after="80"/>
              <w:jc w:val="center"/>
              <w:rPr>
                <w:b/>
                <w:color w:val="000000"/>
              </w:rPr>
            </w:pPr>
            <w:r>
              <w:rPr>
                <w:color w:val="000000"/>
              </w:rPr>
              <w:t>2.000.000</w:t>
            </w:r>
          </w:p>
        </w:tc>
      </w:tr>
      <w:tr>
        <w:trPr/>
        <w:tc>
          <w:tcPr>
            <w:tcW w:w="820"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color w:val="000000"/>
              </w:rPr>
            </w:pPr>
            <w:r>
              <w:rPr>
                <w:color w:val="000000"/>
              </w:rPr>
              <w:t>2</w:t>
            </w:r>
          </w:p>
        </w:tc>
        <w:tc>
          <w:tcPr>
            <w:tcW w:w="6693"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color w:val="000000"/>
              </w:rPr>
            </w:pPr>
            <w:r>
              <w:rPr>
                <w:color w:val="000000"/>
              </w:rPr>
              <w:t>Từ 10.000m</w:t>
            </w:r>
            <w:r>
              <w:rPr>
                <w:color w:val="000000"/>
                <w:vertAlign w:val="superscript"/>
              </w:rPr>
              <w:t>2</w:t>
            </w:r>
            <w:r>
              <w:rPr>
                <w:color w:val="000000"/>
              </w:rPr>
              <w:t xml:space="preserve"> đến dưới 100.000m</w:t>
            </w:r>
            <w:r>
              <w:rPr>
                <w:color w:val="000000"/>
                <w:vertAlign w:val="superscript"/>
              </w:rPr>
              <w:t>2</w:t>
            </w:r>
          </w:p>
        </w:tc>
        <w:tc>
          <w:tcPr>
            <w:tcW w:w="5025" w:type="dxa"/>
            <w:gridSpan w:val="2"/>
            <w:tcBorders>
              <w:top w:val="single" w:sz="4" w:space="0" w:color="000000"/>
              <w:left w:val="single" w:sz="4" w:space="0" w:color="000000"/>
              <w:bottom w:val="single" w:sz="4" w:space="0" w:color="000000"/>
              <w:right w:val="single" w:sz="4" w:space="0" w:color="000000"/>
            </w:tcBorders>
          </w:tcPr>
          <w:p>
            <w:pPr>
              <w:pStyle w:val="Normal"/>
              <w:spacing w:before="80" w:after="80"/>
              <w:jc w:val="center"/>
              <w:rPr>
                <w:b/>
                <w:color w:val="000000"/>
              </w:rPr>
            </w:pPr>
            <w:r>
              <w:rPr>
                <w:color w:val="000000"/>
              </w:rPr>
              <w:t>3.000.000</w:t>
            </w:r>
          </w:p>
        </w:tc>
      </w:tr>
      <w:tr>
        <w:trPr/>
        <w:tc>
          <w:tcPr>
            <w:tcW w:w="820"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color w:val="000000"/>
              </w:rPr>
            </w:pPr>
            <w:r>
              <w:rPr>
                <w:color w:val="000000"/>
              </w:rPr>
              <w:t>3</w:t>
            </w:r>
          </w:p>
        </w:tc>
        <w:tc>
          <w:tcPr>
            <w:tcW w:w="6693"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color w:val="000000"/>
              </w:rPr>
            </w:pPr>
            <w:r>
              <w:rPr>
                <w:color w:val="000000"/>
              </w:rPr>
              <w:t>Từ 100.000m</w:t>
            </w:r>
            <w:r>
              <w:rPr>
                <w:color w:val="000000"/>
                <w:vertAlign w:val="superscript"/>
              </w:rPr>
              <w:t>2</w:t>
            </w:r>
            <w:r>
              <w:rPr>
                <w:color w:val="000000"/>
              </w:rPr>
              <w:t xml:space="preserve"> trở lên</w:t>
            </w:r>
          </w:p>
        </w:tc>
        <w:tc>
          <w:tcPr>
            <w:tcW w:w="5025" w:type="dxa"/>
            <w:gridSpan w:val="2"/>
            <w:tcBorders>
              <w:top w:val="single" w:sz="4" w:space="0" w:color="000000"/>
              <w:left w:val="single" w:sz="4" w:space="0" w:color="000000"/>
              <w:bottom w:val="single" w:sz="4" w:space="0" w:color="000000"/>
              <w:right w:val="single" w:sz="4" w:space="0" w:color="000000"/>
            </w:tcBorders>
          </w:tcPr>
          <w:p>
            <w:pPr>
              <w:pStyle w:val="Normal"/>
              <w:spacing w:before="80" w:after="80"/>
              <w:jc w:val="center"/>
              <w:rPr>
                <w:b/>
                <w:color w:val="000000"/>
              </w:rPr>
            </w:pPr>
            <w:r>
              <w:rPr>
                <w:color w:val="000000"/>
              </w:rPr>
              <w:t>5.000.000</w:t>
            </w:r>
          </w:p>
        </w:tc>
      </w:tr>
    </w:tbl>
    <w:p>
      <w:pPr>
        <w:pStyle w:val="Normal"/>
        <w:spacing w:before="120" w:after="120"/>
        <w:ind w:firstLine="567" w:right="0"/>
        <w:jc w:val="both"/>
        <w:rPr>
          <w:b/>
          <w:color w:val="000000"/>
          <w:sz w:val="28"/>
          <w:szCs w:val="28"/>
          <w:lang w:val="sv-SE"/>
        </w:rPr>
      </w:pPr>
      <w:r>
        <w:rPr>
          <w:b/>
          <w:color w:val="000000"/>
          <w:sz w:val="28"/>
          <w:szCs w:val="28"/>
          <w:lang w:val="sv-SE"/>
        </w:rPr>
        <w:t>II. Trường hợp đăng ký cấp giấy chứng nhận quyền sử dụng đất và tài sản trên đất</w:t>
      </w:r>
    </w:p>
    <w:p>
      <w:pPr>
        <w:pStyle w:val="Normal"/>
        <w:spacing w:before="120" w:after="120"/>
        <w:ind w:firstLine="567" w:right="0"/>
        <w:jc w:val="both"/>
        <w:rPr>
          <w:bCs/>
          <w:i/>
          <w:color w:val="000000"/>
          <w:sz w:val="28"/>
          <w:szCs w:val="28"/>
          <w:lang w:val="sv-SE"/>
        </w:rPr>
      </w:pPr>
      <w:r>
        <w:rPr>
          <w:bCs/>
          <w:i/>
          <w:color w:val="000000"/>
          <w:sz w:val="28"/>
          <w:szCs w:val="28"/>
          <w:lang w:val="sv-SE"/>
        </w:rPr>
        <w:t>a) Đối với hồ sơ Cá nhân</w:t>
      </w:r>
    </w:p>
    <w:p>
      <w:pPr>
        <w:pStyle w:val="Normal"/>
        <w:spacing w:before="120" w:after="120"/>
        <w:ind w:firstLine="567" w:right="0"/>
        <w:jc w:val="both"/>
        <w:rPr>
          <w:bCs/>
          <w:i/>
          <w:color w:val="000000"/>
          <w:sz w:val="28"/>
          <w:szCs w:val="28"/>
          <w:lang w:val="sv-SE"/>
        </w:rPr>
      </w:pPr>
      <w:r>
        <w:rPr>
          <w:bCs/>
          <w:i/>
          <w:color w:val="000000"/>
          <w:sz w:val="28"/>
          <w:szCs w:val="28"/>
          <w:lang w:val="sv-SE"/>
        </w:rPr>
      </w:r>
    </w:p>
    <w:p>
      <w:pPr>
        <w:pStyle w:val="Normal"/>
        <w:spacing w:before="120" w:after="120"/>
        <w:ind w:firstLine="567" w:right="0"/>
        <w:jc w:val="both"/>
        <w:rPr>
          <w:bCs/>
          <w:i/>
          <w:color w:val="000000"/>
          <w:sz w:val="28"/>
          <w:szCs w:val="28"/>
          <w:lang w:val="sv-SE"/>
        </w:rPr>
      </w:pPr>
      <w:r>
        <w:rPr>
          <w:bCs/>
          <w:i/>
          <w:color w:val="000000"/>
          <w:sz w:val="28"/>
          <w:szCs w:val="28"/>
          <w:lang w:val="sv-SE"/>
        </w:rPr>
      </w:r>
    </w:p>
    <w:p>
      <w:pPr>
        <w:pStyle w:val="Normal"/>
        <w:spacing w:before="120" w:after="120"/>
        <w:ind w:firstLine="567" w:right="0"/>
        <w:jc w:val="both"/>
        <w:rPr>
          <w:bCs/>
          <w:i/>
          <w:color w:val="000000"/>
          <w:sz w:val="28"/>
          <w:szCs w:val="28"/>
          <w:lang w:val="sv-SE"/>
        </w:rPr>
      </w:pPr>
      <w:r>
        <w:rPr>
          <w:bCs/>
          <w:i/>
          <w:color w:val="000000"/>
          <w:sz w:val="28"/>
          <w:szCs w:val="28"/>
          <w:lang w:val="sv-SE"/>
        </w:rPr>
      </w:r>
    </w:p>
    <w:p>
      <w:pPr>
        <w:pStyle w:val="Normal"/>
        <w:spacing w:before="120" w:after="120"/>
        <w:ind w:firstLine="567" w:right="0"/>
        <w:jc w:val="both"/>
        <w:rPr>
          <w:bCs/>
          <w:i/>
          <w:color w:val="000000"/>
          <w:sz w:val="28"/>
          <w:szCs w:val="28"/>
          <w:lang w:val="sv-SE"/>
        </w:rPr>
      </w:pPr>
      <w:r>
        <w:rPr>
          <w:bCs/>
          <w:i/>
          <w:color w:val="000000"/>
          <w:sz w:val="28"/>
          <w:szCs w:val="28"/>
          <w:lang w:val="sv-SE"/>
        </w:rPr>
      </w:r>
    </w:p>
    <w:p>
      <w:pPr>
        <w:pStyle w:val="ListParagraph"/>
        <w:spacing w:before="120" w:after="0"/>
        <w:ind w:left="0" w:right="0"/>
        <w:contextualSpacing/>
        <w:jc w:val="right"/>
        <w:rPr>
          <w:bCs/>
          <w:i/>
          <w:iCs/>
          <w:color w:val="000000"/>
          <w:sz w:val="26"/>
          <w:szCs w:val="26"/>
          <w:shd w:fill="FFFFFF" w:val="clear"/>
        </w:rPr>
      </w:pPr>
      <w:r>
        <w:rPr/>
        <w:t>Đơn vị: Đồng/Đơn vị tính</w:t>
      </w:r>
    </w:p>
    <w:tbl>
      <w:tblPr>
        <w:tblW w:w="16006" w:type="dxa"/>
        <w:jc w:val="left"/>
        <w:tblInd w:w="-1168" w:type="dxa"/>
        <w:tblLayout w:type="fixed"/>
        <w:tblCellMar>
          <w:top w:w="0" w:type="dxa"/>
          <w:left w:w="108" w:type="dxa"/>
          <w:bottom w:w="0" w:type="dxa"/>
          <w:right w:w="108" w:type="dxa"/>
        </w:tblCellMar>
      </w:tblPr>
      <w:tblGrid>
        <w:gridCol w:w="704"/>
        <w:gridCol w:w="2132"/>
        <w:gridCol w:w="850"/>
        <w:gridCol w:w="1074"/>
        <w:gridCol w:w="1016"/>
        <w:gridCol w:w="1016"/>
        <w:gridCol w:w="1016"/>
        <w:gridCol w:w="1063"/>
        <w:gridCol w:w="1016"/>
        <w:gridCol w:w="1016"/>
        <w:gridCol w:w="1016"/>
        <w:gridCol w:w="1016"/>
        <w:gridCol w:w="1039"/>
        <w:gridCol w:w="1016"/>
        <w:gridCol w:w="1016"/>
      </w:tblGrid>
      <w:tr>
        <w:trPr>
          <w:tblHeader w:val="true"/>
          <w:trHeight w:val="350" w:hRule="atLeast"/>
        </w:trPr>
        <w:tc>
          <w:tcPr>
            <w:tcW w:w="70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STT</w:t>
            </w:r>
          </w:p>
        </w:tc>
        <w:tc>
          <w:tcPr>
            <w:tcW w:w="213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Nội dung công việc</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Đơn vị tính</w:t>
            </w:r>
          </w:p>
        </w:tc>
        <w:tc>
          <w:tcPr>
            <w:tcW w:w="12320" w:type="dxa"/>
            <w:gridSpan w:val="12"/>
            <w:tcBorders>
              <w:top w:val="single" w:sz="4" w:space="0" w:color="000000"/>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Mức thu theo giá trị tài sản</w:t>
            </w:r>
          </w:p>
        </w:tc>
      </w:tr>
      <w:tr>
        <w:trPr>
          <w:tblHeader w:val="true"/>
          <w:trHeight w:val="350" w:hRule="atLeast"/>
        </w:trPr>
        <w:tc>
          <w:tcPr>
            <w:tcW w:w="70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213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85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4122" w:type="dxa"/>
            <w:gridSpan w:val="4"/>
            <w:tcBorders>
              <w:top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Hồ sơ Đất</w:t>
            </w:r>
          </w:p>
        </w:tc>
        <w:tc>
          <w:tcPr>
            <w:tcW w:w="4111" w:type="dxa"/>
            <w:gridSpan w:val="4"/>
            <w:tcBorders>
              <w:top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Hồ sơ Tài sản</w:t>
            </w:r>
          </w:p>
        </w:tc>
        <w:tc>
          <w:tcPr>
            <w:tcW w:w="4087" w:type="dxa"/>
            <w:gridSpan w:val="4"/>
            <w:tcBorders>
              <w:top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Hồ sơ  Đất+ Tài sản</w:t>
            </w:r>
          </w:p>
        </w:tc>
      </w:tr>
      <w:tr>
        <w:trPr>
          <w:tblHeader w:val="true"/>
          <w:trHeight w:val="700" w:hRule="atLeast"/>
        </w:trPr>
        <w:tc>
          <w:tcPr>
            <w:tcW w:w="70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213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85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1074"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Giá trị đến 5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Từ &gt;5 tỷ đến 10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Từ &gt;10 tỷ đến 100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Trên 100 tỷ</w:t>
            </w:r>
          </w:p>
        </w:tc>
        <w:tc>
          <w:tcPr>
            <w:tcW w:w="1063"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Giá trị đến 5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Từ &gt;5 tỷ đến 10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Từ &gt;10 tỷ đến 100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Trên 100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Giá trị đến 5 tỷ</w:t>
            </w:r>
          </w:p>
        </w:tc>
        <w:tc>
          <w:tcPr>
            <w:tcW w:w="1039"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Từ &gt;5 tỷ đến 10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Từ &gt;10 tỷ đến 100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Trên 100 tỷ</w:t>
            </w:r>
          </w:p>
        </w:tc>
      </w:tr>
      <w:tr>
        <w:trPr>
          <w:tblHeader w:val="true"/>
          <w:trHeight w:val="360" w:hRule="atLeast"/>
        </w:trPr>
        <w:tc>
          <w:tcPr>
            <w:tcW w:w="70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213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85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1074"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55%</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28%</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17%</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0%</w:t>
            </w:r>
          </w:p>
        </w:tc>
        <w:tc>
          <w:tcPr>
            <w:tcW w:w="1063"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55%</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28%</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17%</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0%</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55%</w:t>
            </w:r>
          </w:p>
        </w:tc>
        <w:tc>
          <w:tcPr>
            <w:tcW w:w="1039"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28%</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17%</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0%</w:t>
            </w:r>
          </w:p>
        </w:tc>
      </w:tr>
      <w:tr>
        <w:trPr>
          <w:tblHeader w:val="true"/>
          <w:trHeight w:val="350" w:hRule="atLeast"/>
        </w:trPr>
        <w:tc>
          <w:tcPr>
            <w:tcW w:w="704" w:type="dxa"/>
            <w:tcBorders>
              <w:left w:val="single" w:sz="4" w:space="0" w:color="000000"/>
              <w:bottom w:val="single" w:sz="4" w:space="0" w:color="000000"/>
              <w:right w:val="single" w:sz="4" w:space="0" w:color="000000"/>
            </w:tcBorders>
            <w:vAlign w:val="center"/>
          </w:tcPr>
          <w:p>
            <w:pPr>
              <w:pStyle w:val="Normal"/>
              <w:jc w:val="center"/>
              <w:rPr>
                <w:b/>
                <w:bCs/>
                <w:i/>
                <w:iCs/>
                <w:color w:val="000000"/>
                <w:sz w:val="20"/>
                <w:szCs w:val="20"/>
              </w:rPr>
            </w:pPr>
            <w:r>
              <w:rPr>
                <w:b/>
                <w:bCs/>
                <w:i/>
                <w:iCs/>
                <w:color w:val="000000"/>
                <w:sz w:val="20"/>
                <w:szCs w:val="20"/>
              </w:rPr>
              <w:t>A</w:t>
            </w:r>
          </w:p>
        </w:tc>
        <w:tc>
          <w:tcPr>
            <w:tcW w:w="2132" w:type="dxa"/>
            <w:tcBorders>
              <w:bottom w:val="single" w:sz="4" w:space="0" w:color="000000"/>
              <w:right w:val="single" w:sz="4" w:space="0" w:color="000000"/>
            </w:tcBorders>
            <w:vAlign w:val="center"/>
          </w:tcPr>
          <w:p>
            <w:pPr>
              <w:pStyle w:val="Normal"/>
              <w:jc w:val="center"/>
              <w:rPr>
                <w:b/>
                <w:bCs/>
                <w:i/>
                <w:iCs/>
                <w:color w:val="000000"/>
                <w:sz w:val="20"/>
                <w:szCs w:val="20"/>
              </w:rPr>
            </w:pPr>
            <w:r>
              <w:rPr>
                <w:b/>
                <w:bCs/>
                <w:i/>
                <w:iCs/>
                <w:color w:val="000000"/>
                <w:sz w:val="20"/>
                <w:szCs w:val="20"/>
              </w:rPr>
              <w:t>B</w:t>
            </w:r>
          </w:p>
        </w:tc>
        <w:tc>
          <w:tcPr>
            <w:tcW w:w="850" w:type="dxa"/>
            <w:tcBorders>
              <w:bottom w:val="single" w:sz="4" w:space="0" w:color="000000"/>
              <w:right w:val="single" w:sz="4" w:space="0" w:color="000000"/>
            </w:tcBorders>
            <w:vAlign w:val="center"/>
          </w:tcPr>
          <w:p>
            <w:pPr>
              <w:pStyle w:val="Normal"/>
              <w:jc w:val="center"/>
              <w:rPr>
                <w:b/>
                <w:bCs/>
                <w:i/>
                <w:iCs/>
                <w:color w:val="000000"/>
                <w:sz w:val="20"/>
                <w:szCs w:val="20"/>
              </w:rPr>
            </w:pPr>
            <w:r>
              <w:rPr>
                <w:b/>
                <w:bCs/>
                <w:i/>
                <w:iCs/>
                <w:color w:val="000000"/>
                <w:sz w:val="20"/>
                <w:szCs w:val="20"/>
              </w:rPr>
              <w:t>C</w:t>
            </w:r>
          </w:p>
        </w:tc>
        <w:tc>
          <w:tcPr>
            <w:tcW w:w="1074"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1</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2</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3</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4</w:t>
            </w:r>
          </w:p>
        </w:tc>
        <w:tc>
          <w:tcPr>
            <w:tcW w:w="1063"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5</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6</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7</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8</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9</w:t>
            </w:r>
          </w:p>
        </w:tc>
        <w:tc>
          <w:tcPr>
            <w:tcW w:w="1039"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10</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11</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12</w:t>
            </w:r>
          </w:p>
        </w:tc>
      </w:tr>
      <w:tr>
        <w:trPr>
          <w:trHeight w:val="350" w:hRule="atLeast"/>
        </w:trPr>
        <w:tc>
          <w:tcPr>
            <w:tcW w:w="704" w:type="dxa"/>
            <w:tcBorders>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A</w:t>
            </w:r>
          </w:p>
        </w:tc>
        <w:tc>
          <w:tcPr>
            <w:tcW w:w="2132" w:type="dxa"/>
            <w:tcBorders>
              <w:bottom w:val="single" w:sz="4" w:space="0" w:color="000000"/>
              <w:right w:val="single" w:sz="4" w:space="0" w:color="000000"/>
            </w:tcBorders>
            <w:vAlign w:val="center"/>
          </w:tcPr>
          <w:p>
            <w:pPr>
              <w:pStyle w:val="Normal"/>
              <w:jc w:val="both"/>
              <w:rPr>
                <w:b/>
                <w:bCs/>
                <w:color w:val="000000"/>
                <w:sz w:val="20"/>
                <w:szCs w:val="20"/>
              </w:rPr>
            </w:pPr>
            <w:r>
              <w:rPr>
                <w:b/>
                <w:bCs/>
                <w:color w:val="000000"/>
                <w:sz w:val="20"/>
                <w:szCs w:val="20"/>
              </w:rPr>
              <w:t>CÁC CÔNG VIỆC THU THEO HỒ SƠ:</w:t>
            </w:r>
          </w:p>
        </w:tc>
        <w:tc>
          <w:tcPr>
            <w:tcW w:w="850" w:type="dxa"/>
            <w:tcBorders>
              <w:bottom w:val="single" w:sz="4" w:space="0" w:color="000000"/>
              <w:right w:val="single" w:sz="4" w:space="0" w:color="000000"/>
            </w:tcBorders>
            <w:vAlign w:val="center"/>
          </w:tcPr>
          <w:p>
            <w:pPr>
              <w:pStyle w:val="Normal"/>
              <w:rPr>
                <w:b/>
                <w:bCs/>
                <w:color w:val="000000"/>
                <w:sz w:val="20"/>
                <w:szCs w:val="20"/>
              </w:rPr>
            </w:pPr>
            <w:r>
              <w:rPr>
                <w:b/>
                <w:bCs/>
                <w:color w:val="000000"/>
                <w:sz w:val="20"/>
                <w:szCs w:val="20"/>
              </w:rPr>
              <w:t> </w:t>
            </w:r>
          </w:p>
        </w:tc>
        <w:tc>
          <w:tcPr>
            <w:tcW w:w="1074"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63"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39"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r>
      <w:tr>
        <w:trPr>
          <w:trHeight w:val="180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I</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ĐĂNG KÝ, CẤP GIẤY CHỨNG NHẬN LẦN ĐẦU ĐỒNG LOẠT ĐỐI VỚI HỘ GIA ĐÌNH, CÁ NHÂN, CỘNG ĐỒNG DÂN CƯ, TỔ CHỨC TRONG NƯỚC, NGƯỜI GỐC VIỆT NAM ĐỊNH CƯ Ở NƯỚC NGOÀI TẠI ĐỊA BÀN XÃ, PHƯỜNG, ĐẶC KHU</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1.720.000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1.720.000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1.720.000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1.720.000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1.720.000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1.720.000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1.720.000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1.720.000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2.750.000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2.750.000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2.750.000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2.750.000 </w:t>
            </w:r>
          </w:p>
        </w:tc>
      </w:tr>
      <w:tr>
        <w:trPr>
          <w:trHeight w:val="180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II</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ĐĂNG KÝ, CẤP GIẤY CHỨNG NHẬN LẦN ĐẦU ĐƠN LẺ ĐỐI VỚI HỘ GIA ĐÌNH, CÁ NHÂN, CỘNG ĐỒNG DÂN CƯ, TỔ CHỨC TRONG NƯỚC, NGƯỜI GỐC VIỆT NAM ĐỊNH CƯ Ở NƯỚC NGOÀI TẠI ĐỊA BÀN XÃ, PHƯỜNG, ĐẶC KHU</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2.780.000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5.200.000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6.500.000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2.780.000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5.200.000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6.500.000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3.740.000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3.740.000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5.200.000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6.500.000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III</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ĐĂNG KÝ, CẤP ĐỔI GIẤY CHỨNG NHẬN  ĐỒNG LOẠT  TẠI  XÃ, PHƯỜNG, ĐẶC KHU</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700.000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1.120.000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1.120.000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1.120.000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1.120.000 </w:t>
            </w:r>
          </w:p>
        </w:tc>
      </w:tr>
      <w:tr>
        <w:trPr>
          <w:trHeight w:val="387"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IV</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 xml:space="preserve"> </w:t>
            </w:r>
            <w:r>
              <w:rPr>
                <w:color w:val="000000"/>
                <w:sz w:val="20"/>
                <w:szCs w:val="20"/>
              </w:rPr>
              <w:t>ĐĂNG KÝ, CẤP ĐỔI, CẤP LẠI GIẤY CHỨNG NHẬN RIÊNG LẺ ĐỐI VỚI HỘ GIA ĐÌNH, CÁ NHÂN, CỘNG ĐỒNG DÂN CƯ, NGƯỜI GỐC VIỆT NAM ĐỊNH CƯ Ở NƯỚC NGOÀI</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800.000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1.000.000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1.000.000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V</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 xml:space="preserve">ĐĂNG KÝ BIẾN ĐỘNG ĐẤT ĐAI ĐỐI VỚI HỘ GIA ĐÌNH, CÁ NHÂN, CỘNG ĐỒNG DÂN CƯ </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r>
      <w:tr>
        <w:trPr>
          <w:trHeight w:val="36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CÓ CẤP MỚI GCN</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5.200.000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6.500.000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2.425.000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5.200.000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6.500.000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3.000.000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5.200.000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6.500.000 </w:t>
            </w:r>
          </w:p>
        </w:tc>
      </w:tr>
      <w:tr>
        <w:trPr>
          <w:trHeight w:val="36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KHÔNG  CẤP MỚI GCN</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r>
      <w:tr>
        <w:trPr>
          <w:trHeight w:val="6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Thế chấp : Áp dụng phí Đăng ký GCBĐ, không áp dụng phí Thẩm định</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2320" w:type="dxa"/>
            <w:gridSpan w:val="12"/>
            <w:tcBorders>
              <w:bottom w:val="single" w:sz="4" w:space="0" w:color="000000"/>
              <w:right w:val="single" w:sz="4" w:space="0" w:color="000000"/>
            </w:tcBorders>
            <w:vAlign w:val="center"/>
          </w:tcPr>
          <w:p>
            <w:pPr>
              <w:pStyle w:val="Normal"/>
              <w:jc w:val="center"/>
              <w:rPr>
                <w:color w:val="000000"/>
                <w:sz w:val="20"/>
                <w:szCs w:val="20"/>
              </w:rPr>
            </w:pPr>
            <w:r>
              <w:rPr>
                <w:i/>
                <w:iCs/>
                <w:color w:val="000000"/>
                <w:sz w:val="20"/>
                <w:szCs w:val="20"/>
              </w:rPr>
              <w:t>Thu phí Đăng ký giao dịch bảo đảm</w:t>
            </w:r>
          </w:p>
        </w:tc>
      </w:tr>
      <w:tr>
        <w:trPr>
          <w:trHeight w:val="6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Xóa Thế chấp: Áp dụng phí Đăng ký GCBĐ, không áp dụng phí Thẩm định</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2320" w:type="dxa"/>
            <w:gridSpan w:val="12"/>
            <w:tcBorders>
              <w:bottom w:val="single" w:sz="4" w:space="0" w:color="000000"/>
              <w:right w:val="single" w:sz="4" w:space="0" w:color="000000"/>
            </w:tcBorders>
            <w:vAlign w:val="center"/>
          </w:tcPr>
          <w:p>
            <w:pPr>
              <w:pStyle w:val="Normal"/>
              <w:jc w:val="center"/>
              <w:rPr>
                <w:color w:val="000000"/>
                <w:sz w:val="20"/>
                <w:szCs w:val="20"/>
              </w:rPr>
            </w:pPr>
            <w:r>
              <w:rPr>
                <w:i/>
                <w:iCs/>
                <w:color w:val="000000"/>
                <w:sz w:val="20"/>
                <w:szCs w:val="20"/>
              </w:rPr>
              <w:t>Thu phí Đăng ký giao dịch bảo đảm</w:t>
            </w:r>
          </w:p>
        </w:tc>
      </w:tr>
      <w:tr>
        <w:trPr>
          <w:trHeight w:val="36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2.3</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Thay đổi diện tích do sạt lở tự nhiên một phần thửa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Trường hợp đo đạc lại thửa đất mà có thay đổi diện tích, số hiệu thửa đất, số hiệu tờ bản đồ</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470.000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2.100.000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640.000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2.100.000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750.000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2.100.000 </w:t>
            </w:r>
          </w:p>
        </w:tc>
      </w:tr>
      <w:tr>
        <w:trPr>
          <w:trHeight w:val="108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2.5</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Thay đổi tên đơn vị hành chính, điều chỉnh địa giới hành chính theo quyết định của cơ quan nhà nước có thẩm quyền</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470.000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2.100.000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640.000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2.100.000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750.000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2.100.000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Cho thuê, cho thuê lại quyền sử dụng đất, tài sản gắn liền với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2.7</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Xóa đăng ký cho thuê, cho thuê lại đất tài sản gắn liền với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36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2.8</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đổi quyền sử dụng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2.9</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nhượng quyền sử dụng đất, quyền sở hữu tài sản gắn liền với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2.10</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Thừa kế quyền sử dụng đất, quyền sở hữu tài sản gắn liền với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2.11</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Tặng cho quyền sử dụng đất, quyền sở hữu tài sản gắn liền với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2.12</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Góp vốn bằng quyền sử dụng đất, tài sản gắn liền với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2.13</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Xóa đăng ký góp vốn bằng quyền sử dụng đất, tài sản gắn liền với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2.14</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quyền sử dụng đất, tài sản gắn liền với đất theo thỏa thuận xử lý nợ thế chấp</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2.15</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quyền sử dụng đất, tài sản gắn liền với đất theo kết quả giải quyết tranh chấp đất đai</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2.16</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quyền sử dụng đất, tài sản gắn liền với đất theo quyết định giải quyết khiếu nại, tố cáo về đất đai</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108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2.17</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quyền sử dụng cả thửa đất, tài sản gắn liền với đất theo bản án, quyết định của tòa án, quyết định của cơ quan thi hành án</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2.18</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quyền sử dụng đất, tài sản gắn liền với đất theo kết quả đấu giá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2.19</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Người sử dụng đất, chủ sở hữu tài sản gắn liền với đất đổi tên, nhân thân hoặc địa chỉ</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144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2.20</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đổi hộ gia đình, cá nhân sử dụng đất thành tổ chức kinh tế của hộ gia đình, cá nhân đó mà không thuộc trường hợp chuyển nhượng quyền sử dụng đất, quyền sở hữu tài sản gắn liền với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2.21</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Xác lập hoặc thay đổi, chấm dứt quyền sử dụng hạn chế thửa đất liền kề</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36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2.22</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mục đích sử dụng toàn bộ thửa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2.23</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Gia hạn sử dụng đất (kể cả trường hợp tiếp tục sử dụng đất nông nghiệp của hộ gia đình, cá nhân)</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387"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2.24</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từ hình thức thuê đất sang hình thức giao đất có thu tiền sử dụng đất hoặc chuyển từ hình thức thuê đất trả tiền hàng năm sang hình thức thuê đất trả tiền một lần hoặc chuyển từ hình thức Nhà nước giao đất không thu tiền sang hình thức giao đất có thu tiền hay thuê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2.25</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Thay đổi thông tin về tài sản gắn liền với đất đã ghi trên GCN hoặc đã thể hiện trong cơ sở dữ liệu</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2.26</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Có thay đổi đối với những hạn chế về quyền sử dụng đất, tài sản gắn liền với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2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2.27</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Phát hiện có sai sót, nhầm lẫn về nội dung thông tin trong hồ sơ địa chính và trên GCN</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108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2.28</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Thu hồi quyền sử dụng đất, thu hồi giấy chứng nhận quyền sử dụng đất, quyền sở hữu tài sản gắn liền với đất</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470.000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2.100.000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640.000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2.100.000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750.000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1.200.000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1.700.000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2.100.000 </w:t>
            </w:r>
          </w:p>
        </w:tc>
      </w:tr>
      <w:tr>
        <w:trPr>
          <w:trHeight w:val="36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2.29</w:t>
            </w:r>
          </w:p>
        </w:tc>
        <w:tc>
          <w:tcPr>
            <w:tcW w:w="2132"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Ghi nợ và xóa nợ về nghĩa vụ tài chính</w:t>
            </w:r>
          </w:p>
        </w:tc>
        <w:tc>
          <w:tcPr>
            <w:tcW w:w="85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7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630.000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6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870.000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1.040.000 </w:t>
            </w:r>
          </w:p>
        </w:tc>
        <w:tc>
          <w:tcPr>
            <w:tcW w:w="1039"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1.600.000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2.600.000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xml:space="preserve">3.250.000 </w:t>
            </w:r>
          </w:p>
        </w:tc>
      </w:tr>
      <w:tr>
        <w:trPr>
          <w:trHeight w:val="700" w:hRule="atLeast"/>
        </w:trPr>
        <w:tc>
          <w:tcPr>
            <w:tcW w:w="704" w:type="dxa"/>
            <w:tcBorders>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B</w:t>
            </w:r>
          </w:p>
        </w:tc>
        <w:tc>
          <w:tcPr>
            <w:tcW w:w="2132" w:type="dxa"/>
            <w:tcBorders>
              <w:bottom w:val="single" w:sz="4" w:space="0" w:color="000000"/>
              <w:right w:val="single" w:sz="4" w:space="0" w:color="000000"/>
            </w:tcBorders>
            <w:vAlign w:val="center"/>
          </w:tcPr>
          <w:p>
            <w:pPr>
              <w:pStyle w:val="Normal"/>
              <w:jc w:val="both"/>
              <w:rPr>
                <w:b/>
                <w:bCs/>
                <w:color w:val="000000"/>
                <w:sz w:val="20"/>
                <w:szCs w:val="20"/>
              </w:rPr>
            </w:pPr>
            <w:r>
              <w:rPr>
                <w:b/>
                <w:bCs/>
                <w:color w:val="000000"/>
                <w:sz w:val="20"/>
                <w:szCs w:val="20"/>
              </w:rPr>
              <w:t>CÁC CÔNG VIỆC THU THEO ĐƠN VỊ TÍNH KHÁC:</w:t>
            </w:r>
          </w:p>
        </w:tc>
        <w:tc>
          <w:tcPr>
            <w:tcW w:w="850" w:type="dxa"/>
            <w:tcBorders>
              <w:bottom w:val="single" w:sz="4" w:space="0" w:color="000000"/>
              <w:right w:val="single" w:sz="4" w:space="0" w:color="000000"/>
            </w:tcBorders>
            <w:vAlign w:val="center"/>
          </w:tcPr>
          <w:p>
            <w:pPr>
              <w:pStyle w:val="Normal"/>
              <w:rPr>
                <w:b/>
                <w:bCs/>
                <w:color w:val="000000"/>
                <w:sz w:val="20"/>
                <w:szCs w:val="20"/>
              </w:rPr>
            </w:pPr>
            <w:r>
              <w:rPr>
                <w:b/>
                <w:bCs/>
                <w:color w:val="000000"/>
                <w:sz w:val="20"/>
                <w:szCs w:val="20"/>
              </w:rPr>
              <w:t> </w:t>
            </w:r>
          </w:p>
        </w:tc>
        <w:tc>
          <w:tcPr>
            <w:tcW w:w="1074" w:type="dxa"/>
            <w:tcBorders>
              <w:bottom w:val="single" w:sz="4" w:space="0" w:color="000000"/>
              <w:right w:val="single" w:sz="4" w:space="0" w:color="000000"/>
            </w:tcBorders>
            <w:vAlign w:val="center"/>
          </w:tcPr>
          <w:p>
            <w:pPr>
              <w:pStyle w:val="Normal"/>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rPr>
                <w:color w:val="000000"/>
                <w:sz w:val="20"/>
                <w:szCs w:val="20"/>
              </w:rPr>
            </w:pPr>
            <w:r>
              <w:rPr>
                <w:color w:val="000000"/>
                <w:sz w:val="20"/>
                <w:szCs w:val="20"/>
              </w:rPr>
              <w:t> </w:t>
            </w:r>
          </w:p>
        </w:tc>
        <w:tc>
          <w:tcPr>
            <w:tcW w:w="1063" w:type="dxa"/>
            <w:tcBorders>
              <w:bottom w:val="single" w:sz="4" w:space="0" w:color="000000"/>
              <w:right w:val="single" w:sz="4" w:space="0" w:color="000000"/>
            </w:tcBorders>
            <w:vAlign w:val="center"/>
          </w:tcPr>
          <w:p>
            <w:pPr>
              <w:pStyle w:val="Normal"/>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rPr>
                <w:color w:val="000000"/>
                <w:sz w:val="20"/>
                <w:szCs w:val="20"/>
              </w:rPr>
            </w:pPr>
            <w:r>
              <w:rPr>
                <w:color w:val="000000"/>
                <w:sz w:val="20"/>
                <w:szCs w:val="20"/>
              </w:rPr>
              <w:t> </w:t>
            </w:r>
          </w:p>
        </w:tc>
        <w:tc>
          <w:tcPr>
            <w:tcW w:w="1039" w:type="dxa"/>
            <w:tcBorders>
              <w:bottom w:val="single" w:sz="4" w:space="0" w:color="000000"/>
              <w:right w:val="single" w:sz="4" w:space="0" w:color="000000"/>
            </w:tcBorders>
            <w:vAlign w:val="center"/>
          </w:tcPr>
          <w:p>
            <w:pPr>
              <w:pStyle w:val="Normal"/>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rPr>
                <w:color w:val="000000"/>
                <w:sz w:val="20"/>
                <w:szCs w:val="20"/>
              </w:rPr>
            </w:pPr>
            <w:r>
              <w:rPr>
                <w:color w:val="000000"/>
                <w:sz w:val="20"/>
                <w:szCs w:val="20"/>
              </w:rPr>
              <w:t> </w:t>
            </w:r>
          </w:p>
        </w:tc>
      </w:tr>
      <w:tr>
        <w:trPr>
          <w:trHeight w:val="36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w:t>
            </w:r>
          </w:p>
        </w:tc>
        <w:tc>
          <w:tcPr>
            <w:tcW w:w="2132" w:type="dxa"/>
            <w:tcBorders>
              <w:bottom w:val="single" w:sz="4" w:space="0" w:color="000000"/>
              <w:right w:val="single" w:sz="4" w:space="0" w:color="000000"/>
            </w:tcBorders>
            <w:vAlign w:val="center"/>
          </w:tcPr>
          <w:p>
            <w:pPr>
              <w:pStyle w:val="Normal"/>
              <w:jc w:val="both"/>
              <w:rPr>
                <w:iCs/>
                <w:color w:val="000000"/>
                <w:sz w:val="20"/>
                <w:szCs w:val="20"/>
              </w:rPr>
            </w:pPr>
            <w:r>
              <w:rPr>
                <w:iCs/>
                <w:color w:val="000000"/>
                <w:sz w:val="20"/>
                <w:szCs w:val="20"/>
              </w:rPr>
              <w:t>Thu theo đơn vị tính là thửa</w:t>
            </w:r>
          </w:p>
        </w:tc>
        <w:tc>
          <w:tcPr>
            <w:tcW w:w="850" w:type="dxa"/>
            <w:tcBorders>
              <w:bottom w:val="single" w:sz="4" w:space="0" w:color="000000"/>
              <w:right w:val="single" w:sz="4" w:space="0" w:color="000000"/>
            </w:tcBorders>
            <w:vAlign w:val="center"/>
          </w:tcPr>
          <w:p>
            <w:pPr>
              <w:pStyle w:val="Normal"/>
              <w:jc w:val="center"/>
              <w:rPr>
                <w:i/>
                <w:iCs/>
                <w:color w:val="000000"/>
                <w:sz w:val="20"/>
                <w:szCs w:val="20"/>
              </w:rPr>
            </w:pPr>
            <w:r>
              <w:rPr>
                <w:i/>
                <w:iCs/>
                <w:color w:val="000000"/>
                <w:sz w:val="20"/>
                <w:szCs w:val="20"/>
              </w:rPr>
              <w:t>Thửa</w:t>
            </w:r>
          </w:p>
        </w:tc>
        <w:tc>
          <w:tcPr>
            <w:tcW w:w="12320" w:type="dxa"/>
            <w:gridSpan w:val="12"/>
            <w:tcBorders>
              <w:top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w:t>
            </w:r>
          </w:p>
        </w:tc>
      </w:tr>
      <w:tr>
        <w:trPr>
          <w:trHeight w:val="36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w:t>
            </w:r>
          </w:p>
        </w:tc>
        <w:tc>
          <w:tcPr>
            <w:tcW w:w="2132" w:type="dxa"/>
            <w:tcBorders>
              <w:bottom w:val="single" w:sz="4" w:space="0" w:color="000000"/>
              <w:right w:val="single" w:sz="4" w:space="0" w:color="000000"/>
            </w:tcBorders>
            <w:vAlign w:val="center"/>
          </w:tcPr>
          <w:p>
            <w:pPr>
              <w:pStyle w:val="Normal"/>
              <w:jc w:val="both"/>
              <w:rPr>
                <w:iCs/>
                <w:color w:val="000000"/>
                <w:sz w:val="20"/>
                <w:szCs w:val="20"/>
              </w:rPr>
            </w:pPr>
            <w:r>
              <w:rPr>
                <w:iCs/>
                <w:color w:val="000000"/>
                <w:sz w:val="20"/>
                <w:szCs w:val="20"/>
              </w:rPr>
              <w:t>Thu theo đơn vị tính là GCN</w:t>
            </w:r>
          </w:p>
        </w:tc>
        <w:tc>
          <w:tcPr>
            <w:tcW w:w="850" w:type="dxa"/>
            <w:tcBorders>
              <w:bottom w:val="single" w:sz="4" w:space="0" w:color="000000"/>
              <w:right w:val="single" w:sz="4" w:space="0" w:color="000000"/>
            </w:tcBorders>
            <w:vAlign w:val="center"/>
          </w:tcPr>
          <w:p>
            <w:pPr>
              <w:pStyle w:val="Normal"/>
              <w:jc w:val="center"/>
              <w:rPr>
                <w:i/>
                <w:iCs/>
                <w:color w:val="000000"/>
                <w:sz w:val="20"/>
                <w:szCs w:val="20"/>
              </w:rPr>
            </w:pPr>
            <w:r>
              <w:rPr>
                <w:i/>
                <w:iCs/>
                <w:color w:val="000000"/>
                <w:sz w:val="20"/>
                <w:szCs w:val="20"/>
              </w:rPr>
              <w:t>GCN</w:t>
            </w:r>
          </w:p>
        </w:tc>
        <w:tc>
          <w:tcPr>
            <w:tcW w:w="12320" w:type="dxa"/>
            <w:gridSpan w:val="12"/>
            <w:tcBorders>
              <w:top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w:t>
            </w:r>
          </w:p>
        </w:tc>
      </w:tr>
      <w:tr>
        <w:trPr>
          <w:trHeight w:val="36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w:t>
            </w:r>
          </w:p>
        </w:tc>
        <w:tc>
          <w:tcPr>
            <w:tcW w:w="2132" w:type="dxa"/>
            <w:tcBorders>
              <w:bottom w:val="single" w:sz="4" w:space="0" w:color="000000"/>
              <w:right w:val="single" w:sz="4" w:space="0" w:color="000000"/>
            </w:tcBorders>
            <w:vAlign w:val="center"/>
          </w:tcPr>
          <w:p>
            <w:pPr>
              <w:pStyle w:val="Normal"/>
              <w:jc w:val="both"/>
              <w:rPr>
                <w:iCs/>
                <w:color w:val="000000"/>
                <w:sz w:val="20"/>
                <w:szCs w:val="20"/>
              </w:rPr>
            </w:pPr>
            <w:r>
              <w:rPr>
                <w:iCs/>
                <w:color w:val="000000"/>
                <w:sz w:val="20"/>
                <w:szCs w:val="20"/>
              </w:rPr>
              <w:t>Thu theo đơn vị tính là trang A3</w:t>
            </w:r>
          </w:p>
        </w:tc>
        <w:tc>
          <w:tcPr>
            <w:tcW w:w="850" w:type="dxa"/>
            <w:tcBorders>
              <w:bottom w:val="single" w:sz="4" w:space="0" w:color="000000"/>
              <w:right w:val="single" w:sz="4" w:space="0" w:color="000000"/>
            </w:tcBorders>
            <w:vAlign w:val="center"/>
          </w:tcPr>
          <w:p>
            <w:pPr>
              <w:pStyle w:val="Normal"/>
              <w:jc w:val="center"/>
              <w:rPr>
                <w:i/>
                <w:iCs/>
                <w:color w:val="000000"/>
                <w:sz w:val="20"/>
                <w:szCs w:val="20"/>
              </w:rPr>
            </w:pPr>
            <w:r>
              <w:rPr>
                <w:i/>
                <w:iCs/>
                <w:color w:val="000000"/>
                <w:sz w:val="20"/>
                <w:szCs w:val="20"/>
              </w:rPr>
              <w:t>Trang</w:t>
            </w:r>
          </w:p>
        </w:tc>
        <w:tc>
          <w:tcPr>
            <w:tcW w:w="12320" w:type="dxa"/>
            <w:gridSpan w:val="12"/>
            <w:tcBorders>
              <w:top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7.000</w:t>
            </w:r>
          </w:p>
        </w:tc>
      </w:tr>
      <w:tr>
        <w:trPr>
          <w:trHeight w:val="360" w:hRule="atLeast"/>
        </w:trPr>
        <w:tc>
          <w:tcPr>
            <w:tcW w:w="704"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4</w:t>
            </w:r>
          </w:p>
        </w:tc>
        <w:tc>
          <w:tcPr>
            <w:tcW w:w="2132" w:type="dxa"/>
            <w:tcBorders>
              <w:bottom w:val="single" w:sz="4" w:space="0" w:color="000000"/>
              <w:right w:val="single" w:sz="4" w:space="0" w:color="000000"/>
            </w:tcBorders>
            <w:vAlign w:val="center"/>
          </w:tcPr>
          <w:p>
            <w:pPr>
              <w:pStyle w:val="Normal"/>
              <w:jc w:val="both"/>
              <w:rPr>
                <w:iCs/>
                <w:color w:val="000000"/>
                <w:sz w:val="20"/>
                <w:szCs w:val="20"/>
              </w:rPr>
            </w:pPr>
            <w:r>
              <w:rPr>
                <w:iCs/>
                <w:color w:val="000000"/>
                <w:sz w:val="20"/>
                <w:szCs w:val="20"/>
              </w:rPr>
              <w:t>Thu theo đơn vị tính là trang A4</w:t>
            </w:r>
          </w:p>
        </w:tc>
        <w:tc>
          <w:tcPr>
            <w:tcW w:w="850" w:type="dxa"/>
            <w:tcBorders>
              <w:bottom w:val="single" w:sz="4" w:space="0" w:color="000000"/>
              <w:right w:val="single" w:sz="4" w:space="0" w:color="000000"/>
            </w:tcBorders>
            <w:vAlign w:val="center"/>
          </w:tcPr>
          <w:p>
            <w:pPr>
              <w:pStyle w:val="Normal"/>
              <w:jc w:val="center"/>
              <w:rPr>
                <w:i/>
                <w:iCs/>
                <w:color w:val="000000"/>
                <w:sz w:val="20"/>
                <w:szCs w:val="20"/>
              </w:rPr>
            </w:pPr>
            <w:r>
              <w:rPr>
                <w:i/>
                <w:iCs/>
                <w:color w:val="000000"/>
                <w:sz w:val="20"/>
                <w:szCs w:val="20"/>
              </w:rPr>
              <w:t>Trang</w:t>
            </w:r>
          </w:p>
        </w:tc>
        <w:tc>
          <w:tcPr>
            <w:tcW w:w="12320" w:type="dxa"/>
            <w:gridSpan w:val="12"/>
            <w:tcBorders>
              <w:top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4.000</w:t>
            </w:r>
          </w:p>
        </w:tc>
      </w:tr>
    </w:tbl>
    <w:p>
      <w:pPr>
        <w:pStyle w:val="Normal"/>
        <w:spacing w:before="120" w:after="120"/>
        <w:ind w:firstLine="567" w:right="0"/>
        <w:jc w:val="both"/>
        <w:rPr>
          <w:bCs/>
          <w:color w:val="000000"/>
          <w:spacing w:val="-2"/>
          <w:sz w:val="28"/>
          <w:szCs w:val="28"/>
          <w:lang w:val="sv-SE"/>
        </w:rPr>
      </w:pPr>
      <w:r>
        <w:rPr>
          <w:b/>
          <w:bCs/>
          <w:color w:val="000000"/>
          <w:spacing w:val="-2"/>
          <w:sz w:val="28"/>
          <w:szCs w:val="28"/>
          <w:lang w:val="sv-SE"/>
        </w:rPr>
        <w:t>Ghi chú:</w:t>
      </w:r>
      <w:r>
        <w:rPr>
          <w:bCs/>
          <w:color w:val="000000"/>
          <w:spacing w:val="-2"/>
          <w:sz w:val="28"/>
          <w:szCs w:val="28"/>
          <w:lang w:val="sv-SE"/>
        </w:rPr>
        <w:t xml:space="preserve"> Tổng mức thu phí cho 01 trường hợp đăng ký cấp giấy chứng nhận quyền sử dụng đất và tài sản trên đất bao gồm chi tiết 05 mức thu công việc thực hiện theo hồ sơ; theo thửa; theo giấy chứng nhận; theo trang A3, A4 và theo tờ. </w:t>
      </w:r>
    </w:p>
    <w:p>
      <w:pPr>
        <w:pStyle w:val="Normal"/>
        <w:spacing w:before="120" w:after="120"/>
        <w:ind w:firstLine="567" w:right="0"/>
        <w:jc w:val="both"/>
        <w:rPr>
          <w:bCs/>
          <w:i/>
          <w:color w:val="000000"/>
          <w:sz w:val="28"/>
          <w:szCs w:val="28"/>
          <w:lang w:val="sv-SE"/>
        </w:rPr>
      </w:pPr>
      <w:r>
        <w:rPr>
          <w:bCs/>
          <w:i/>
          <w:color w:val="000000"/>
          <w:sz w:val="28"/>
          <w:szCs w:val="28"/>
          <w:lang w:val="sv-SE"/>
        </w:rPr>
        <w:t>b) Đối với hồ sơ Tổ chức</w:t>
      </w:r>
    </w:p>
    <w:p>
      <w:pPr>
        <w:pStyle w:val="ListParagraph"/>
        <w:spacing w:before="120" w:after="0"/>
        <w:ind w:left="0" w:right="0"/>
        <w:contextualSpacing/>
        <w:jc w:val="right"/>
        <w:rPr>
          <w:bCs/>
          <w:i/>
          <w:iCs/>
          <w:color w:val="000000"/>
          <w:sz w:val="26"/>
          <w:szCs w:val="26"/>
          <w:shd w:fill="FFFFFF" w:val="clear"/>
        </w:rPr>
      </w:pPr>
      <w:r>
        <w:rPr/>
        <w:t>Đơn vị: Đồng/Đơn vị tính</w:t>
      </w:r>
    </w:p>
    <w:tbl>
      <w:tblPr>
        <w:tblW w:w="16113" w:type="dxa"/>
        <w:jc w:val="left"/>
        <w:tblInd w:w="-1168" w:type="dxa"/>
        <w:tblLayout w:type="fixed"/>
        <w:tblCellMar>
          <w:top w:w="0" w:type="dxa"/>
          <w:left w:w="108" w:type="dxa"/>
          <w:bottom w:w="0" w:type="dxa"/>
          <w:right w:w="108" w:type="dxa"/>
        </w:tblCellMar>
      </w:tblPr>
      <w:tblGrid>
        <w:gridCol w:w="709"/>
        <w:gridCol w:w="2094"/>
        <w:gridCol w:w="811"/>
        <w:gridCol w:w="1080"/>
        <w:gridCol w:w="1016"/>
        <w:gridCol w:w="1023"/>
        <w:gridCol w:w="1016"/>
        <w:gridCol w:w="1016"/>
        <w:gridCol w:w="1134"/>
        <w:gridCol w:w="1016"/>
        <w:gridCol w:w="1016"/>
        <w:gridCol w:w="1016"/>
        <w:gridCol w:w="1016"/>
        <w:gridCol w:w="1134"/>
        <w:gridCol w:w="1016"/>
      </w:tblGrid>
      <w:tr>
        <w:trPr>
          <w:tblHeader w:val="true"/>
          <w:trHeight w:val="290" w:hRule="atLeast"/>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STT</w:t>
            </w:r>
          </w:p>
        </w:tc>
        <w:tc>
          <w:tcPr>
            <w:tcW w:w="20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Nội dung công việc</w:t>
            </w:r>
          </w:p>
        </w:tc>
        <w:tc>
          <w:tcPr>
            <w:tcW w:w="81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Đơn vị tính</w:t>
            </w:r>
          </w:p>
        </w:tc>
        <w:tc>
          <w:tcPr>
            <w:tcW w:w="12499" w:type="dxa"/>
            <w:gridSpan w:val="12"/>
            <w:tcBorders>
              <w:top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Mức thu theo giá trị tài sản</w:t>
            </w:r>
          </w:p>
        </w:tc>
      </w:tr>
      <w:tr>
        <w:trPr>
          <w:tblHeader w:val="true"/>
          <w:trHeight w:val="290" w:hRule="atLeast"/>
        </w:trPr>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20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81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4135" w:type="dxa"/>
            <w:gridSpan w:val="4"/>
            <w:tcBorders>
              <w:top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Hồ sơ Đất</w:t>
            </w:r>
          </w:p>
        </w:tc>
        <w:tc>
          <w:tcPr>
            <w:tcW w:w="4182" w:type="dxa"/>
            <w:gridSpan w:val="4"/>
            <w:tcBorders>
              <w:top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Hồ sơ Tài sản</w:t>
            </w:r>
          </w:p>
        </w:tc>
        <w:tc>
          <w:tcPr>
            <w:tcW w:w="4182" w:type="dxa"/>
            <w:gridSpan w:val="4"/>
            <w:tcBorders>
              <w:top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Hồ sơ  Đất+ Tài sản</w:t>
            </w:r>
          </w:p>
        </w:tc>
      </w:tr>
      <w:tr>
        <w:trPr>
          <w:tblHeader w:val="true"/>
          <w:trHeight w:val="520" w:hRule="atLeast"/>
        </w:trPr>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20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81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1080"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Giá trị đến 5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Từ &gt;5 tỷ đến 10 tỷ</w:t>
            </w:r>
          </w:p>
        </w:tc>
        <w:tc>
          <w:tcPr>
            <w:tcW w:w="1023"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Từ &gt;10 tỷ đến 100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Trên 100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Giá trị đến 5 tỷ</w:t>
            </w:r>
          </w:p>
        </w:tc>
        <w:tc>
          <w:tcPr>
            <w:tcW w:w="1134"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Từ &gt;5 tỷ đến 10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Từ &gt;10 tỷ đến 100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Trên 100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Giá trị đến 5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Từ &gt;5 tỷ đến 10 tỷ</w:t>
            </w:r>
          </w:p>
        </w:tc>
        <w:tc>
          <w:tcPr>
            <w:tcW w:w="1134"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Từ &gt;10 tỷ đến 100 tỷ</w:t>
            </w:r>
          </w:p>
        </w:tc>
        <w:tc>
          <w:tcPr>
            <w:tcW w:w="1016" w:type="dxa"/>
            <w:tcBorders>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Trên 100 tỷ</w:t>
            </w:r>
          </w:p>
        </w:tc>
      </w:tr>
      <w:tr>
        <w:trPr>
          <w:tblHeader w:val="true"/>
          <w:trHeight w:val="290" w:hRule="atLeast"/>
        </w:trPr>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20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81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b/>
                <w:bCs/>
                <w:color w:val="000000"/>
                <w:sz w:val="20"/>
                <w:szCs w:val="20"/>
              </w:rPr>
            </w:pPr>
            <w:r>
              <w:rPr>
                <w:b/>
                <w:bCs/>
                <w:color w:val="000000"/>
                <w:sz w:val="20"/>
                <w:szCs w:val="20"/>
              </w:rPr>
            </w:r>
          </w:p>
        </w:tc>
        <w:tc>
          <w:tcPr>
            <w:tcW w:w="1080"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7%</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10%</w:t>
            </w:r>
          </w:p>
        </w:tc>
        <w:tc>
          <w:tcPr>
            <w:tcW w:w="1023"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46%</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36%</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7%</w:t>
            </w:r>
          </w:p>
        </w:tc>
        <w:tc>
          <w:tcPr>
            <w:tcW w:w="1134"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10%</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46%</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36%</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7%</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10%</w:t>
            </w:r>
          </w:p>
        </w:tc>
        <w:tc>
          <w:tcPr>
            <w:tcW w:w="1134"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46%</w:t>
            </w:r>
          </w:p>
        </w:tc>
        <w:tc>
          <w:tcPr>
            <w:tcW w:w="1016" w:type="dxa"/>
            <w:tcBorders>
              <w:bottom w:val="single" w:sz="4" w:space="0" w:color="000000"/>
              <w:right w:val="single" w:sz="4" w:space="0" w:color="000000"/>
            </w:tcBorders>
            <w:vAlign w:val="bottom"/>
          </w:tcPr>
          <w:p>
            <w:pPr>
              <w:pStyle w:val="Normal"/>
              <w:jc w:val="center"/>
              <w:rPr>
                <w:i/>
                <w:iCs/>
                <w:color w:val="000000"/>
                <w:sz w:val="20"/>
                <w:szCs w:val="20"/>
              </w:rPr>
            </w:pPr>
            <w:r>
              <w:rPr>
                <w:i/>
                <w:iCs/>
                <w:color w:val="000000"/>
                <w:sz w:val="20"/>
                <w:szCs w:val="20"/>
              </w:rPr>
              <w:t>36%</w:t>
            </w:r>
          </w:p>
        </w:tc>
      </w:tr>
      <w:tr>
        <w:trPr>
          <w:tblHeader w:val="true"/>
          <w:trHeight w:val="375" w:hRule="atLeast"/>
        </w:trPr>
        <w:tc>
          <w:tcPr>
            <w:tcW w:w="709" w:type="dxa"/>
            <w:tcBorders>
              <w:left w:val="single" w:sz="4" w:space="0" w:color="000000"/>
              <w:bottom w:val="single" w:sz="4" w:space="0" w:color="000000"/>
              <w:right w:val="single" w:sz="4" w:space="0" w:color="000000"/>
            </w:tcBorders>
            <w:vAlign w:val="center"/>
          </w:tcPr>
          <w:p>
            <w:pPr>
              <w:pStyle w:val="Normal"/>
              <w:jc w:val="center"/>
              <w:rPr>
                <w:b/>
                <w:bCs/>
                <w:i/>
                <w:iCs/>
                <w:color w:val="000000"/>
                <w:sz w:val="20"/>
                <w:szCs w:val="20"/>
              </w:rPr>
            </w:pPr>
            <w:r>
              <w:rPr>
                <w:b/>
                <w:bCs/>
                <w:i/>
                <w:iCs/>
                <w:color w:val="000000"/>
                <w:sz w:val="20"/>
                <w:szCs w:val="20"/>
              </w:rPr>
              <w:t>A</w:t>
            </w:r>
          </w:p>
        </w:tc>
        <w:tc>
          <w:tcPr>
            <w:tcW w:w="2094" w:type="dxa"/>
            <w:tcBorders>
              <w:bottom w:val="single" w:sz="4" w:space="0" w:color="000000"/>
              <w:right w:val="single" w:sz="4" w:space="0" w:color="000000"/>
            </w:tcBorders>
            <w:vAlign w:val="center"/>
          </w:tcPr>
          <w:p>
            <w:pPr>
              <w:pStyle w:val="Normal"/>
              <w:jc w:val="center"/>
              <w:rPr>
                <w:b/>
                <w:bCs/>
                <w:i/>
                <w:iCs/>
                <w:color w:val="000000"/>
                <w:sz w:val="20"/>
                <w:szCs w:val="20"/>
              </w:rPr>
            </w:pPr>
            <w:r>
              <w:rPr>
                <w:b/>
                <w:bCs/>
                <w:i/>
                <w:iCs/>
                <w:color w:val="000000"/>
                <w:sz w:val="20"/>
                <w:szCs w:val="20"/>
              </w:rPr>
              <w:t>B</w:t>
            </w:r>
          </w:p>
        </w:tc>
        <w:tc>
          <w:tcPr>
            <w:tcW w:w="811" w:type="dxa"/>
            <w:tcBorders>
              <w:bottom w:val="single" w:sz="4" w:space="0" w:color="000000"/>
              <w:right w:val="single" w:sz="4" w:space="0" w:color="000000"/>
            </w:tcBorders>
            <w:vAlign w:val="center"/>
          </w:tcPr>
          <w:p>
            <w:pPr>
              <w:pStyle w:val="Normal"/>
              <w:jc w:val="center"/>
              <w:rPr>
                <w:b/>
                <w:bCs/>
                <w:i/>
                <w:iCs/>
                <w:color w:val="000000"/>
                <w:sz w:val="20"/>
                <w:szCs w:val="20"/>
              </w:rPr>
            </w:pPr>
            <w:r>
              <w:rPr>
                <w:b/>
                <w:bCs/>
                <w:i/>
                <w:iCs/>
                <w:color w:val="000000"/>
                <w:sz w:val="20"/>
                <w:szCs w:val="20"/>
              </w:rPr>
              <w:t>C</w:t>
            </w:r>
          </w:p>
        </w:tc>
        <w:tc>
          <w:tcPr>
            <w:tcW w:w="1080"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1</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2</w:t>
            </w:r>
          </w:p>
        </w:tc>
        <w:tc>
          <w:tcPr>
            <w:tcW w:w="1023"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3</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4</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5</w:t>
            </w:r>
          </w:p>
        </w:tc>
        <w:tc>
          <w:tcPr>
            <w:tcW w:w="1134"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6</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7</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8</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9</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10</w:t>
            </w:r>
          </w:p>
        </w:tc>
        <w:tc>
          <w:tcPr>
            <w:tcW w:w="1134"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11</w:t>
            </w:r>
          </w:p>
        </w:tc>
        <w:tc>
          <w:tcPr>
            <w:tcW w:w="1016" w:type="dxa"/>
            <w:tcBorders>
              <w:bottom w:val="single" w:sz="4" w:space="0" w:color="000000"/>
              <w:right w:val="single" w:sz="4" w:space="0" w:color="000000"/>
            </w:tcBorders>
            <w:vAlign w:val="bottom"/>
          </w:tcPr>
          <w:p>
            <w:pPr>
              <w:pStyle w:val="Normal"/>
              <w:jc w:val="center"/>
              <w:rPr>
                <w:b/>
                <w:bCs/>
                <w:i/>
                <w:iCs/>
                <w:color w:val="000000"/>
                <w:sz w:val="20"/>
                <w:szCs w:val="20"/>
              </w:rPr>
            </w:pPr>
            <w:r>
              <w:rPr>
                <w:b/>
                <w:bCs/>
                <w:i/>
                <w:iCs/>
                <w:color w:val="000000"/>
                <w:sz w:val="20"/>
                <w:szCs w:val="20"/>
              </w:rPr>
              <w:t>12</w:t>
            </w:r>
          </w:p>
        </w:tc>
      </w:tr>
      <w:tr>
        <w:trPr>
          <w:trHeight w:val="375" w:hRule="atLeast"/>
        </w:trPr>
        <w:tc>
          <w:tcPr>
            <w:tcW w:w="709" w:type="dxa"/>
            <w:tcBorders>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A</w:t>
            </w:r>
          </w:p>
        </w:tc>
        <w:tc>
          <w:tcPr>
            <w:tcW w:w="2094" w:type="dxa"/>
            <w:tcBorders>
              <w:bottom w:val="single" w:sz="4" w:space="0" w:color="000000"/>
              <w:right w:val="single" w:sz="4" w:space="0" w:color="000000"/>
            </w:tcBorders>
            <w:vAlign w:val="center"/>
          </w:tcPr>
          <w:p>
            <w:pPr>
              <w:pStyle w:val="Normal"/>
              <w:rPr>
                <w:b/>
                <w:bCs/>
                <w:color w:val="000000"/>
                <w:sz w:val="20"/>
                <w:szCs w:val="20"/>
              </w:rPr>
            </w:pPr>
            <w:r>
              <w:rPr>
                <w:b/>
                <w:bCs/>
                <w:color w:val="000000"/>
                <w:sz w:val="20"/>
                <w:szCs w:val="20"/>
              </w:rPr>
              <w:t>CÁC CÔNG VIỆC THU THEO HỒ SƠ:</w:t>
            </w:r>
          </w:p>
        </w:tc>
        <w:tc>
          <w:tcPr>
            <w:tcW w:w="811" w:type="dxa"/>
            <w:tcBorders>
              <w:bottom w:val="single" w:sz="4" w:space="0" w:color="000000"/>
              <w:right w:val="single" w:sz="4" w:space="0" w:color="000000"/>
            </w:tcBorders>
            <w:vAlign w:val="center"/>
          </w:tcPr>
          <w:p>
            <w:pPr>
              <w:pStyle w:val="Normal"/>
              <w:rPr>
                <w:b/>
                <w:bCs/>
                <w:color w:val="000000"/>
                <w:sz w:val="20"/>
                <w:szCs w:val="20"/>
              </w:rPr>
            </w:pPr>
            <w:r>
              <w:rPr>
                <w:b/>
                <w:bCs/>
                <w:color w:val="000000"/>
                <w:sz w:val="20"/>
                <w:szCs w:val="20"/>
              </w:rPr>
              <w:t> </w:t>
            </w:r>
          </w:p>
        </w:tc>
        <w:tc>
          <w:tcPr>
            <w:tcW w:w="1080"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23"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134"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134"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c>
          <w:tcPr>
            <w:tcW w:w="1016" w:type="dxa"/>
            <w:tcBorders>
              <w:bottom w:val="single" w:sz="4" w:space="0" w:color="000000"/>
              <w:right w:val="single" w:sz="4" w:space="0" w:color="000000"/>
            </w:tcBorders>
            <w:vAlign w:val="bottom"/>
          </w:tcPr>
          <w:p>
            <w:pPr>
              <w:pStyle w:val="Normal"/>
              <w:jc w:val="center"/>
              <w:rPr>
                <w:b/>
                <w:bCs/>
                <w:color w:val="000000"/>
                <w:sz w:val="20"/>
                <w:szCs w:val="20"/>
              </w:rPr>
            </w:pPr>
            <w:r>
              <w:rPr>
                <w:b/>
                <w:bCs/>
                <w:color w:val="000000"/>
                <w:sz w:val="20"/>
                <w:szCs w:val="20"/>
              </w:rPr>
              <w:t> </w:t>
            </w:r>
          </w:p>
        </w:tc>
      </w:tr>
      <w:tr>
        <w:trPr>
          <w:trHeight w:val="273" w:hRule="atLeast"/>
        </w:trPr>
        <w:tc>
          <w:tcPr>
            <w:tcW w:w="709" w:type="dxa"/>
            <w:tcBorders>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I</w:t>
            </w:r>
          </w:p>
        </w:tc>
        <w:tc>
          <w:tcPr>
            <w:tcW w:w="2094" w:type="dxa"/>
            <w:tcBorders>
              <w:bottom w:val="single" w:sz="4" w:space="0" w:color="000000"/>
              <w:right w:val="single" w:sz="4" w:space="0" w:color="000000"/>
            </w:tcBorders>
            <w:vAlign w:val="center"/>
          </w:tcPr>
          <w:p>
            <w:pPr>
              <w:pStyle w:val="Normal"/>
              <w:jc w:val="both"/>
              <w:rPr>
                <w:bCs/>
                <w:color w:val="000000"/>
                <w:sz w:val="20"/>
                <w:szCs w:val="20"/>
              </w:rPr>
            </w:pPr>
            <w:r>
              <w:rPr>
                <w:bCs/>
                <w:color w:val="000000"/>
                <w:sz w:val="20"/>
                <w:szCs w:val="20"/>
              </w:rPr>
              <w:t>ĐĂNG KÝ, CẤP GIẤY CHỨNG NHẬN LẦN ĐẦU ĐỒNG LOẠT ĐỐI VỚI HỘ GIA ĐÌNH, CÁ NHÂN, CỘNG ĐỒNG DÂN CƯ, TỔ CHỨC TRONG NƯỚC, NGƯỜI GỐC VIỆT NAM ĐỊNH CƯ Ở NƯỚC NGOÀI TẠI ĐỊA BÀN XÃ, PHƯỜNG, ĐẶC KHU</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1.740.000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1.740.000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1.740.000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1.740.000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1.740.000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1.740.000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1.740.000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1.740.000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2.800.000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2.800.000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2.800.000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2.800.000</w:t>
            </w:r>
          </w:p>
        </w:tc>
      </w:tr>
      <w:tr>
        <w:trPr>
          <w:trHeight w:val="780" w:hRule="atLeast"/>
        </w:trPr>
        <w:tc>
          <w:tcPr>
            <w:tcW w:w="709" w:type="dxa"/>
            <w:tcBorders>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II</w:t>
            </w:r>
          </w:p>
        </w:tc>
        <w:tc>
          <w:tcPr>
            <w:tcW w:w="2094" w:type="dxa"/>
            <w:tcBorders>
              <w:bottom w:val="single" w:sz="4" w:space="0" w:color="000000"/>
              <w:right w:val="single" w:sz="4" w:space="0" w:color="000000"/>
            </w:tcBorders>
            <w:vAlign w:val="center"/>
          </w:tcPr>
          <w:p>
            <w:pPr>
              <w:pStyle w:val="Normal"/>
              <w:jc w:val="both"/>
              <w:rPr>
                <w:bCs/>
                <w:color w:val="000000"/>
                <w:sz w:val="20"/>
                <w:szCs w:val="20"/>
              </w:rPr>
            </w:pPr>
            <w:r>
              <w:rPr>
                <w:bCs/>
                <w:color w:val="000000"/>
                <w:sz w:val="20"/>
                <w:szCs w:val="20"/>
              </w:rPr>
              <w:t>ĐĂNG KÝ, CẤP GIẤY CHỨNG NHẬN LẦN ĐẦU ĐỐI VỚI TỔ CHỨC, TỔ CHỨC TÔN GIÁO, TỔ CHỨC TÔN GIÁO TRỰC THUỘC ĐANG SỬ DỤNG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2.545.000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2.545.000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3.255.000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6.200.000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III</w:t>
            </w:r>
          </w:p>
        </w:tc>
        <w:tc>
          <w:tcPr>
            <w:tcW w:w="2094" w:type="dxa"/>
            <w:tcBorders>
              <w:bottom w:val="single" w:sz="4" w:space="0" w:color="000000"/>
              <w:right w:val="single" w:sz="4" w:space="0" w:color="000000"/>
            </w:tcBorders>
            <w:vAlign w:val="center"/>
          </w:tcPr>
          <w:p>
            <w:pPr>
              <w:pStyle w:val="Normal"/>
              <w:jc w:val="both"/>
              <w:rPr>
                <w:bCs/>
                <w:color w:val="000000"/>
                <w:sz w:val="20"/>
                <w:szCs w:val="20"/>
              </w:rPr>
            </w:pPr>
            <w:r>
              <w:rPr>
                <w:bCs/>
                <w:color w:val="000000"/>
                <w:sz w:val="20"/>
                <w:szCs w:val="20"/>
              </w:rPr>
              <w:t>ĐĂNG KÝ, CẤP ĐỔI GIẤY CHỨNG NHẬN  ĐỒNG LOẠT  TẠI  XÃ, PHƯỜNG, ĐẶC KHU</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700.000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700.000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700.000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700.000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700.000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700.000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700.000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700.000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1.120.000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1.120.000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1.120.000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1.120.000</w:t>
            </w:r>
          </w:p>
        </w:tc>
      </w:tr>
      <w:tr>
        <w:trPr>
          <w:trHeight w:val="413" w:hRule="atLeast"/>
        </w:trPr>
        <w:tc>
          <w:tcPr>
            <w:tcW w:w="709" w:type="dxa"/>
            <w:tcBorders>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IV</w:t>
            </w:r>
          </w:p>
        </w:tc>
        <w:tc>
          <w:tcPr>
            <w:tcW w:w="2094" w:type="dxa"/>
            <w:tcBorders>
              <w:bottom w:val="single" w:sz="4" w:space="0" w:color="000000"/>
              <w:right w:val="single" w:sz="4" w:space="0" w:color="000000"/>
            </w:tcBorders>
            <w:vAlign w:val="center"/>
          </w:tcPr>
          <w:p>
            <w:pPr>
              <w:pStyle w:val="Normal"/>
              <w:jc w:val="both"/>
              <w:rPr>
                <w:bCs/>
                <w:color w:val="000000"/>
                <w:sz w:val="20"/>
                <w:szCs w:val="20"/>
              </w:rPr>
            </w:pPr>
            <w:r>
              <w:rPr>
                <w:bCs/>
                <w:color w:val="000000"/>
                <w:sz w:val="20"/>
                <w:szCs w:val="20"/>
              </w:rPr>
              <w:t>ĐĂNG KÝ, CẤP ĐỔI, CẤP LẠI GIẤY CHỨNG NHẬN RIÊNG LẺ ĐỐI VỚI TỔ CHỨC, TỔ CHỨC TÔN GIÁO, TỔ CHỨC TÔN GIÁO TRỰC THUỘC, TỔ CHỨC NƯỚC NGOÀI CÓ CHỨC NĂNG NGOẠI GIAO, TỔ CHỨC KINH TẾ CÓ VỐN ĐẦU TƯ NƯỚC NGOÀI, TỔ CHỨC NƯỚC NGOÀI, CÁ NHÂN NƯỚC NGOÀI</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1.010.000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1.465.000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1300" w:hRule="atLeast"/>
        </w:trPr>
        <w:tc>
          <w:tcPr>
            <w:tcW w:w="709" w:type="dxa"/>
            <w:tcBorders>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V</w:t>
            </w:r>
          </w:p>
        </w:tc>
        <w:tc>
          <w:tcPr>
            <w:tcW w:w="2094" w:type="dxa"/>
            <w:tcBorders>
              <w:bottom w:val="single" w:sz="4" w:space="0" w:color="000000"/>
              <w:right w:val="single" w:sz="4" w:space="0" w:color="000000"/>
            </w:tcBorders>
            <w:vAlign w:val="center"/>
          </w:tcPr>
          <w:p>
            <w:pPr>
              <w:pStyle w:val="Normal"/>
              <w:jc w:val="both"/>
              <w:rPr>
                <w:bCs/>
                <w:color w:val="000000"/>
                <w:sz w:val="20"/>
                <w:szCs w:val="20"/>
              </w:rPr>
            </w:pPr>
            <w:r>
              <w:rPr>
                <w:bCs/>
                <w:color w:val="000000"/>
                <w:sz w:val="20"/>
                <w:szCs w:val="20"/>
              </w:rPr>
              <w:t>ĐĂNG KÝ BIẾN ĐỘNG ĐẤT ĐAI  ĐỐI VỚI TỔ CHỨC, TỔ CHỨC TÔN GIÁO, TỔ CHỨC TÔN GIÁO TRỰC THUỘC, TỔ CHỨC NƯỚC NGOÀI CÓ CHỨC NĂNG NGOẠI GIAO, TỔ CHỨC KINH TẾ CÓ VỐN ĐẦU TƯ NƯỚC NGOÀI, TỔ CHỨC NƯỚC NGOÀI, CÁ NHÂN NƯỚC NGOÀI</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rFonts w:ascii="Calibri" w:hAnsi="Calibri" w:cs="Calibri"/>
                <w:color w:val="000000"/>
                <w:sz w:val="20"/>
                <w:szCs w:val="20"/>
              </w:rPr>
            </w:pPr>
            <w:r>
              <w:rPr>
                <w:rFonts w:cs="Calibri" w:ascii="Calibri" w:hAnsi="Calibri"/>
                <w:color w:val="000000"/>
                <w:sz w:val="20"/>
                <w:szCs w:val="20"/>
              </w:rPr>
              <w:t> </w:t>
            </w:r>
          </w:p>
        </w:tc>
        <w:tc>
          <w:tcPr>
            <w:tcW w:w="1023" w:type="dxa"/>
            <w:tcBorders>
              <w:bottom w:val="single" w:sz="4" w:space="0" w:color="000000"/>
              <w:right w:val="single" w:sz="4" w:space="0" w:color="000000"/>
            </w:tcBorders>
            <w:vAlign w:val="center"/>
          </w:tcPr>
          <w:p>
            <w:pPr>
              <w:pStyle w:val="Normal"/>
              <w:jc w:val="center"/>
              <w:rPr>
                <w:rFonts w:ascii="Calibri" w:hAnsi="Calibri" w:cs="Calibri"/>
                <w:color w:val="000000"/>
                <w:sz w:val="20"/>
                <w:szCs w:val="20"/>
              </w:rPr>
            </w:pPr>
            <w:r>
              <w:rPr>
                <w:rFonts w:cs="Calibri" w:ascii="Calibri" w:hAnsi="Calibri"/>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CÓ CẤP MỚI GCN</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2.040.000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2.040.000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KHÔNG  CẤP MỚI GCN</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rFonts w:ascii="Calibri" w:hAnsi="Calibri" w:cs="Calibri"/>
                <w:color w:val="000000"/>
                <w:sz w:val="20"/>
                <w:szCs w:val="20"/>
              </w:rPr>
            </w:pPr>
            <w:r>
              <w:rPr>
                <w:rFonts w:cs="Calibri" w:ascii="Calibri" w:hAnsi="Calibri"/>
                <w:color w:val="000000"/>
                <w:sz w:val="20"/>
                <w:szCs w:val="20"/>
              </w:rPr>
              <w:t> </w:t>
            </w:r>
          </w:p>
        </w:tc>
        <w:tc>
          <w:tcPr>
            <w:tcW w:w="1023" w:type="dxa"/>
            <w:tcBorders>
              <w:bottom w:val="single" w:sz="4" w:space="0" w:color="000000"/>
              <w:right w:val="single" w:sz="4" w:space="0" w:color="000000"/>
            </w:tcBorders>
            <w:vAlign w:val="center"/>
          </w:tcPr>
          <w:p>
            <w:pPr>
              <w:pStyle w:val="Normal"/>
              <w:jc w:val="center"/>
              <w:rPr>
                <w:rFonts w:ascii="Calibri" w:hAnsi="Calibri" w:cs="Calibri"/>
                <w:color w:val="000000"/>
                <w:sz w:val="20"/>
                <w:szCs w:val="20"/>
              </w:rPr>
            </w:pPr>
            <w:r>
              <w:rPr>
                <w:rFonts w:cs="Calibri" w:ascii="Calibri" w:hAnsi="Calibri"/>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Thế chấp hoặc thay đổi nội dung thế chấp bằng quyền sử dụng đất, tài sản gắn liền với đất, thế chấp tài sản gắn liền với đất hình thành trong tương lai</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2499" w:type="dxa"/>
            <w:gridSpan w:val="12"/>
            <w:tcBorders>
              <w:top w:val="single" w:sz="4" w:space="0" w:color="000000"/>
              <w:bottom w:val="single" w:sz="4" w:space="0" w:color="000000"/>
              <w:right w:val="single" w:sz="4" w:space="0" w:color="000000"/>
            </w:tcBorders>
            <w:vAlign w:val="center"/>
          </w:tcPr>
          <w:p>
            <w:pPr>
              <w:pStyle w:val="Normal"/>
              <w:jc w:val="center"/>
              <w:rPr>
                <w:i/>
                <w:iCs/>
                <w:color w:val="000000"/>
                <w:sz w:val="20"/>
                <w:szCs w:val="20"/>
              </w:rPr>
            </w:pPr>
            <w:r>
              <w:rPr>
                <w:i/>
                <w:iCs/>
                <w:color w:val="000000"/>
                <w:sz w:val="20"/>
                <w:szCs w:val="20"/>
              </w:rPr>
              <w:t>Thu phí Đăng ký giao dịch bảo đảm</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Xóa đăng ký thế chấp bằng quyền sử dụng đất, tài sản gắn liền với đất, thế chấp tài sản gắn liền với đất hình thành trong tương lai</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2499" w:type="dxa"/>
            <w:gridSpan w:val="12"/>
            <w:tcBorders>
              <w:top w:val="single" w:sz="4" w:space="0" w:color="000000"/>
              <w:bottom w:val="single" w:sz="4" w:space="0" w:color="000000"/>
              <w:right w:val="single" w:sz="4" w:space="0" w:color="000000"/>
            </w:tcBorders>
            <w:vAlign w:val="center"/>
          </w:tcPr>
          <w:p>
            <w:pPr>
              <w:pStyle w:val="Normal"/>
              <w:jc w:val="center"/>
              <w:rPr>
                <w:i/>
                <w:iCs/>
                <w:color w:val="000000"/>
                <w:sz w:val="20"/>
                <w:szCs w:val="20"/>
              </w:rPr>
            </w:pPr>
            <w:r>
              <w:rPr>
                <w:i/>
                <w:iCs/>
                <w:color w:val="000000"/>
                <w:sz w:val="20"/>
                <w:szCs w:val="20"/>
              </w:rPr>
              <w:t>Thu phí Đăng ký giao dịch bảo đảm</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2.3</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Thay đổi diện tích do sạt lở tự nhiên một phần thửa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2.060.000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2.040.000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2.650.000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Trường hợp đo đạc lại thửa đất mà có thay đổi diện tích, số hiệu thửa đất, số hiệu tờ bản đồ</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2.5</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Thay đổi tên đơn vị hành chính, điều chỉnh địa giới hành chính theo quyết định của cơ quan nhà nước có thẩm quyền;</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240.000</w:t>
            </w:r>
          </w:p>
        </w:tc>
      </w:tr>
      <w:tr>
        <w:trPr>
          <w:trHeight w:val="78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Cho thuê, cho thuê lại quyền sử dụng đất (trừ trường hợp cho thuê, cho thuê lại quyền sử dụng đất trong khu công nghiệp, cụm công nghiệp, khu chế xuất, khu công nghệ cao, khu kinh tế), tài sản gắn liền với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2.7</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Xóa đăng ký cho thuê, cho thuê lại đất tài sản gắn liền với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2.8</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nhượng quyền sử dụng đất, quyền sở hữu tài sản gắn liền với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2.9</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Góp vốn bằng quyền sử dụng đất, tài sản gắn liền với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2.10</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Xóa đăng ký góp vốn bằng quyền sử dụng đất, tài sản gắn liền với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2.11</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quyền sử dụng đất, tài sản gắn liền với đất theo thỏa thuận xử lý nợ thế chấp</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2.12</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quyền sử dụng đất, tài sản gắn liền với đất theo kết quả giải quyết tranh chấp đất đai</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2.13</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quyền sử dụng đất, tài sản gắn liền với đất theo quyết định giải quyết khiếu nại, tố cáo về đất đai</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2.14</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quyền sử dụng cả thửa đất, tài sản gắn liền với đất theo bản án, quyết định của tòa án, quyết định của cơ quan thi hành án</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2.15</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quyền sử dụng đất, tài sản gắn liền với đất theo kết quả đấu giá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2.16</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Trường hợp chuyển đổi công ty; chia, tách, hợp nhất, sáp nhập doanh nghiệp</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2.17</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Người sử dụng đất, chủ sở hữu tài sản gắn liền với đất đổi tên, thay đổi thông tin về giấy tờ pháp nhân, nhân thân hoặc địa chỉ</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2.18</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Chủ đầu tư xây dựng nhà chung cư bán căn hộ và làm thủ tục đăng ký biến động đợt đầu</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2.19</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Xác lập hoặc thay đổi, chấm dứt quyền sử dụng hạn chế thửa đất liền kề</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2.20</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mục đích sử dụng toàn bộ thửa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2.21</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Gia hạn sử dụng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104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2.22</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Chuyển từ hình thức thuê đất sang hình thức giao đất có thu tiền sử dụng đất hoặc chuyển từ hình thức thuê đất trả tiền hàng năm sang hình thức thuê đất trả tiền một lần hoặc chuyển từ hình thức Nhà nước giao đất không thu tiền sang hình thức giao đất có thu tiền hay thuê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2.23</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Thay đổi thông tin về tài sản gắn liền với đất đã ghi trên GCN hoặc đã thể hiện trong cơ sở dữ liệu</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2.030.000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2.610.000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2.24</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Có thay đổi đối với những hạn chế về quyền sử dụng đất, tài sản gắn liền với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2.25</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Phát hiện có sai sót, nhầm lẫn về nội dung thông tin trong hồ sơ địa chính và trên GCN</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2.020.000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2.600.000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6.500.000</w:t>
            </w:r>
          </w:p>
        </w:tc>
      </w:tr>
      <w:tr>
        <w:trPr>
          <w:trHeight w:val="52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2.26</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Thu hồi quyền sử dụng đất, thu hồi giấy chứng nhận quyền sử dụng đất, quyền sở hữu tài sản gắn liền với đất</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Hồ sơ</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240.000</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240.000</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240.000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b/>
                <w:bCs/>
                <w:color w:val="000000"/>
                <w:sz w:val="20"/>
                <w:szCs w:val="20"/>
              </w:rPr>
            </w:pPr>
            <w:r>
              <w:rPr>
                <w:b/>
                <w:bCs/>
                <w:color w:val="000000"/>
                <w:sz w:val="20"/>
                <w:szCs w:val="20"/>
              </w:rPr>
              <w:t>B</w:t>
            </w:r>
          </w:p>
        </w:tc>
        <w:tc>
          <w:tcPr>
            <w:tcW w:w="2094" w:type="dxa"/>
            <w:tcBorders>
              <w:bottom w:val="single" w:sz="4" w:space="0" w:color="000000"/>
              <w:right w:val="single" w:sz="4" w:space="0" w:color="000000"/>
            </w:tcBorders>
            <w:vAlign w:val="center"/>
          </w:tcPr>
          <w:p>
            <w:pPr>
              <w:pStyle w:val="Normal"/>
              <w:jc w:val="both"/>
              <w:rPr>
                <w:b/>
                <w:bCs/>
                <w:color w:val="000000"/>
                <w:sz w:val="20"/>
                <w:szCs w:val="20"/>
              </w:rPr>
            </w:pPr>
            <w:r>
              <w:rPr>
                <w:b/>
                <w:bCs/>
                <w:color w:val="000000"/>
                <w:sz w:val="20"/>
                <w:szCs w:val="20"/>
              </w:rPr>
              <w:t>CÁC CÔNG VIỆC THU THEO ĐƠN VỊ TÍNH KHÁC:</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80"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23"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134"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c>
          <w:tcPr>
            <w:tcW w:w="1016"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 </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1</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Thu theo đơn vị tính là thửa</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Thửa</w:t>
            </w:r>
          </w:p>
        </w:tc>
        <w:tc>
          <w:tcPr>
            <w:tcW w:w="12499" w:type="dxa"/>
            <w:gridSpan w:val="12"/>
            <w:tcBorders>
              <w:top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20000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2</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Thu theo đơn vị tính là GCN</w:t>
            </w:r>
          </w:p>
        </w:tc>
        <w:tc>
          <w:tcPr>
            <w:tcW w:w="811" w:type="dxa"/>
            <w:tcBorders>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GCN</w:t>
            </w:r>
          </w:p>
        </w:tc>
        <w:tc>
          <w:tcPr>
            <w:tcW w:w="12499" w:type="dxa"/>
            <w:gridSpan w:val="12"/>
            <w:tcBorders>
              <w:top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52000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3</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Thu theo đơn vị tính là trang A3</w:t>
            </w:r>
          </w:p>
        </w:tc>
        <w:tc>
          <w:tcPr>
            <w:tcW w:w="811" w:type="dxa"/>
            <w:tcBorders/>
            <w:vAlign w:val="center"/>
          </w:tcPr>
          <w:p>
            <w:pPr>
              <w:pStyle w:val="Normal"/>
              <w:jc w:val="center"/>
              <w:rPr>
                <w:color w:val="000000"/>
                <w:sz w:val="20"/>
                <w:szCs w:val="20"/>
              </w:rPr>
            </w:pPr>
            <w:r>
              <w:rPr>
                <w:color w:val="000000"/>
                <w:sz w:val="20"/>
                <w:szCs w:val="20"/>
              </w:rPr>
              <w:t>Trang</w:t>
            </w:r>
          </w:p>
        </w:tc>
        <w:tc>
          <w:tcPr>
            <w:tcW w:w="12499" w:type="dxa"/>
            <w:gridSpan w:val="12"/>
            <w:tcBorders>
              <w:top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7000</w:t>
            </w:r>
          </w:p>
        </w:tc>
      </w:tr>
      <w:tr>
        <w:trPr>
          <w:trHeight w:val="290" w:hRule="atLeast"/>
        </w:trPr>
        <w:tc>
          <w:tcPr>
            <w:tcW w:w="709" w:type="dxa"/>
            <w:tcBorders>
              <w:left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4</w:t>
            </w:r>
          </w:p>
        </w:tc>
        <w:tc>
          <w:tcPr>
            <w:tcW w:w="2094" w:type="dxa"/>
            <w:tcBorders>
              <w:bottom w:val="single" w:sz="4" w:space="0" w:color="000000"/>
              <w:right w:val="single" w:sz="4" w:space="0" w:color="000000"/>
            </w:tcBorders>
            <w:vAlign w:val="center"/>
          </w:tcPr>
          <w:p>
            <w:pPr>
              <w:pStyle w:val="Normal"/>
              <w:jc w:val="both"/>
              <w:rPr>
                <w:color w:val="000000"/>
                <w:sz w:val="20"/>
                <w:szCs w:val="20"/>
              </w:rPr>
            </w:pPr>
            <w:r>
              <w:rPr>
                <w:color w:val="000000"/>
                <w:sz w:val="20"/>
                <w:szCs w:val="20"/>
              </w:rPr>
              <w:t>Thu theo đơn vị tính là trang A4</w:t>
            </w:r>
          </w:p>
        </w:tc>
        <w:tc>
          <w:tcPr>
            <w:tcW w:w="811" w:type="dxa"/>
            <w:tcBorders>
              <w:top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TRang</w:t>
            </w:r>
          </w:p>
        </w:tc>
        <w:tc>
          <w:tcPr>
            <w:tcW w:w="12499" w:type="dxa"/>
            <w:gridSpan w:val="12"/>
            <w:tcBorders>
              <w:top w:val="single" w:sz="4" w:space="0" w:color="000000"/>
              <w:bottom w:val="single" w:sz="4" w:space="0" w:color="000000"/>
              <w:right w:val="single" w:sz="4" w:space="0" w:color="000000"/>
            </w:tcBorders>
            <w:vAlign w:val="center"/>
          </w:tcPr>
          <w:p>
            <w:pPr>
              <w:pStyle w:val="Normal"/>
              <w:jc w:val="center"/>
              <w:rPr>
                <w:color w:val="000000"/>
                <w:sz w:val="20"/>
                <w:szCs w:val="20"/>
              </w:rPr>
            </w:pPr>
            <w:r>
              <w:rPr>
                <w:color w:val="000000"/>
                <w:sz w:val="20"/>
                <w:szCs w:val="20"/>
              </w:rPr>
              <w:t>4000</w:t>
            </w:r>
          </w:p>
        </w:tc>
      </w:tr>
    </w:tbl>
    <w:p>
      <w:pPr>
        <w:pStyle w:val="Normal"/>
        <w:spacing w:before="120" w:after="120"/>
        <w:ind w:firstLine="567" w:right="0"/>
        <w:jc w:val="both"/>
        <w:rPr>
          <w:b/>
          <w:color w:val="000000"/>
          <w:sz w:val="28"/>
          <w:szCs w:val="28"/>
          <w:lang w:val="nl-NL"/>
        </w:rPr>
        <w:sectPr>
          <w:headerReference w:type="default" r:id="rId7"/>
          <w:headerReference w:type="first" r:id="rId8"/>
          <w:footerReference w:type="default" r:id="rId9"/>
          <w:footerReference w:type="first" r:id="rId10"/>
          <w:type w:val="nextPage"/>
          <w:pgSz w:orient="landscape" w:w="16838" w:h="11906"/>
          <w:pgMar w:left="1701" w:right="1134" w:gutter="0" w:header="567" w:top="1134" w:footer="340" w:bottom="1134"/>
          <w:pgNumType w:start="1" w:fmt="decimal"/>
          <w:formProt w:val="false"/>
          <w:titlePg/>
          <w:textDirection w:val="lrTb"/>
          <w:docGrid w:type="default" w:linePitch="360" w:charSpace="0"/>
        </w:sectPr>
      </w:pPr>
      <w:r>
        <w:rPr>
          <w:b/>
          <w:bCs/>
          <w:color w:val="000000"/>
          <w:spacing w:val="-2"/>
          <w:sz w:val="28"/>
          <w:szCs w:val="28"/>
          <w:lang w:val="sv-SE"/>
        </w:rPr>
        <w:t>Ghi chú:</w:t>
      </w:r>
      <w:r>
        <w:rPr>
          <w:bCs/>
          <w:color w:val="000000"/>
          <w:spacing w:val="-2"/>
          <w:sz w:val="28"/>
          <w:szCs w:val="28"/>
          <w:lang w:val="sv-SE"/>
        </w:rPr>
        <w:t xml:space="preserve"> Tổng mức thu phí cho 01 trường hợp đăng ký cấp giấy chứng nhận quyền sử dụng đất và tài sản trên đất bao gồm chi tiết 05 mức thu công việc thực hiện theo hồ sơ; theo thửa; theo giấy chứng nhận; theo trang A3, A4 và theo tờ. </w:t>
      </w:r>
    </w:p>
    <w:p>
      <w:pPr>
        <w:pStyle w:val="Normal"/>
        <w:numPr>
          <w:ilvl w:val="0"/>
          <w:numId w:val="0"/>
        </w:numPr>
        <w:spacing w:before="120" w:after="0"/>
        <w:rPr>
          <w:b/>
          <w:color w:val="000000"/>
          <w:sz w:val="28"/>
          <w:szCs w:val="28"/>
          <w:lang w:val="nl-NL"/>
        </w:rPr>
      </w:pPr>
      <w:r>
        <w:rPr>
          <w:b/>
          <w:color w:val="000000"/>
          <w:sz w:val="28"/>
          <w:szCs w:val="28"/>
          <w:lang w:val="nl-NL"/>
        </w:rPr>
      </w:r>
      <w:r>
        <w:br w:type="page"/>
      </w:r>
    </w:p>
    <w:p>
      <w:pPr>
        <w:pStyle w:val="Normal"/>
        <w:spacing w:before="120" w:after="0"/>
        <w:rPr>
          <w:color w:val="000000"/>
        </w:rPr>
      </w:pPr>
      <w:r>
        <w:rPr>
          <w:color w:val="000000"/>
        </w:rPr>
        <w:t xml:space="preserve"> </w:t>
      </w:r>
    </w:p>
    <w:p>
      <w:pPr>
        <w:pStyle w:val="Normal"/>
        <w:spacing w:before="120" w:after="0"/>
        <w:ind w:firstLine="567" w:right="0"/>
        <w:jc w:val="center"/>
        <w:rPr>
          <w:b/>
          <w:color w:val="000000"/>
          <w:lang w:val="nl-NL"/>
        </w:rPr>
      </w:pPr>
      <w:r>
        <w:rPr>
          <w:b/>
          <w:color w:val="000000"/>
          <w:lang w:val="nl-NL"/>
        </w:rPr>
      </w:r>
    </w:p>
    <w:sectPr>
      <w:headerReference w:type="default" r:id="rId11"/>
      <w:headerReference w:type="first" r:id="rId12"/>
      <w:footerReference w:type="default" r:id="rId13"/>
      <w:footerReference w:type="first" r:id="rId14"/>
      <w:type w:val="nextPage"/>
      <w:pgSz w:w="11906" w:h="16838"/>
      <w:pgMar w:left="1701" w:right="1134" w:gutter="0" w:header="567" w:top="623" w:footer="340" w:bottom="567"/>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I-Times">
    <w:charset w:val="00"/>
    <w:family w:val="auto"/>
    <w:pitch w:val="variable"/>
  </w:font>
  <w:font w:name=".VnTime">
    <w:altName w:val="#9Slide03 Cousine"/>
    <w:charset w:val="00"/>
    <w:family w:val="swiss"/>
    <w:pitch w:val="variable"/>
  </w:font>
  <w:font w:name="Tahoma">
    <w:charset w:val="00"/>
    <w:family w:val="swiss"/>
    <w:pitch w:val="variable"/>
  </w:font>
  <w:font w:name="Liberation Sans">
    <w:altName w:val="Arial"/>
    <w:charset w:val="00"/>
    <w:family w:val="swiss"/>
    <w:pitch w:val="variable"/>
  </w:font>
  <w:font w:name="Times New Roman Italic">
    <w:charset w:val="00"/>
    <w:family w:val="roman"/>
    <w:pitch w:val="default"/>
  </w:font>
  <w:font w:name="Calibri">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lang w:val="en-US"/>
      </w:rPr>
    </w:pPr>
    <w:r>
      <w:rPr>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lang w:val="en-US"/>
      </w:rPr>
    </w:pPr>
    <w:r>
      <w:rPr>
        <w:lang w:val="en-US"/>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Pr>
        <w:sz w:val="26"/>
        <w:szCs w:val="26"/>
      </w:rPr>
      <w:t>5</w:t>
    </w:r>
    <w:r>
      <w:rPr>
        <w:sz w:val="26"/>
        <w:szCs w:val="26"/>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Pr>
        <w:sz w:val="26"/>
        <w:szCs w:val="26"/>
      </w:rPr>
      <w:t>14</w:t>
    </w:r>
    <w:r>
      <w:rPr>
        <w:sz w:val="26"/>
        <w:szCs w:val="26"/>
      </w:rPr>
      <w:fldChar w:fldCharType="end"/>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Pr>
        <w:sz w:val="26"/>
        <w:szCs w:val="26"/>
      </w:rPr>
      <w:t>16</w:t>
    </w:r>
    <w:r>
      <w:rPr>
        <w:sz w:val="26"/>
        <w:szCs w:val="26"/>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paragraph" w:styleId="Heading1">
    <w:name w:val="heading 1"/>
    <w:basedOn w:val="Normal"/>
    <w:next w:val="Normal"/>
    <w:qFormat/>
    <w:pPr>
      <w:keepNext w:val="true"/>
      <w:numPr>
        <w:ilvl w:val="0"/>
        <w:numId w:val="1"/>
      </w:numPr>
      <w:tabs>
        <w:tab w:val="clear" w:pos="720"/>
        <w:tab w:val="left" w:pos="5670" w:leader="none"/>
      </w:tabs>
      <w:outlineLvl w:val="0"/>
    </w:pPr>
    <w:rPr>
      <w:rFonts w:ascii="VNI-Times" w:hAnsi="VNI-Times" w:cs="VNI-Times"/>
      <w:b/>
      <w:sz w:val="26"/>
      <w:szCs w:val="20"/>
    </w:rPr>
  </w:style>
  <w:style w:type="paragraph" w:styleId="Heading3">
    <w:name w:val="heading 3"/>
    <w:basedOn w:val="Normal"/>
    <w:next w:val="Normal"/>
    <w:qFormat/>
    <w:pPr>
      <w:keepNext w:val="true"/>
      <w:numPr>
        <w:ilvl w:val="2"/>
        <w:numId w:val="1"/>
      </w:numPr>
      <w:tabs>
        <w:tab w:val="clear" w:pos="720"/>
        <w:tab w:val="left" w:pos="5670" w:leader="none"/>
      </w:tabs>
      <w:spacing w:before="0" w:after="120"/>
      <w:jc w:val="center"/>
      <w:outlineLvl w:val="2"/>
    </w:pPr>
    <w:rPr>
      <w:rFonts w:ascii="VNI-Times" w:hAnsi="VNI-Times" w:cs="VNI-Times"/>
      <w:b/>
      <w:sz w:val="28"/>
      <w:szCs w:val="20"/>
    </w:rPr>
  </w:style>
  <w:style w:type="character" w:styleId="WW8Num1z0">
    <w:name w:val="WW8Num1z0"/>
    <w:qFormat/>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style>
  <w:style w:type="character" w:styleId="WW8Num11z0">
    <w:name w:val="WW8Num11z0"/>
    <w:qFormat/>
    <w:rPr/>
  </w:style>
  <w:style w:type="character" w:styleId="WW8Num12z0">
    <w:name w:val="WW8Num12z0"/>
    <w:qFormat/>
    <w:rPr/>
  </w:style>
  <w:style w:type="character" w:styleId="DefaultParagraphFont">
    <w:name w:val="Default Paragraph Font"/>
    <w:qFormat/>
    <w:rPr/>
  </w:style>
  <w:style w:type="character" w:styleId="PageNumber">
    <w:name w:val="page number"/>
    <w:basedOn w:val="DefaultParagraphFont"/>
    <w:rPr/>
  </w:style>
  <w:style w:type="character" w:styleId="BodyTextIndentChar">
    <w:name w:val="Body Text Indent Char"/>
    <w:qFormat/>
    <w:rPr>
      <w:rFonts w:ascii=".VnTime;#9Slide03 Cousine" w:hAnsi=".VnTime;#9Slide03 Cousine" w:cs=".VnTime;#9Slide03 Cousine"/>
      <w:sz w:val="28"/>
    </w:rPr>
  </w:style>
  <w:style w:type="character" w:styleId="SubtitleChar">
    <w:name w:val="Subtitle Char"/>
    <w:qFormat/>
    <w:rPr>
      <w:sz w:val="24"/>
      <w:szCs w:val="24"/>
    </w:rPr>
  </w:style>
  <w:style w:type="character" w:styleId="FooterChar">
    <w:name w:val="Footer Char"/>
    <w:qFormat/>
    <w:rPr>
      <w:rFonts w:ascii="VNI-Times" w:hAnsi="VNI-Times" w:cs="VNI-Times"/>
      <w:sz w:val="26"/>
    </w:rPr>
  </w:style>
  <w:style w:type="character" w:styleId="BalloonTextChar">
    <w:name w:val="Balloon Text Char"/>
    <w:qFormat/>
    <w:rPr>
      <w:rFonts w:ascii="Tahoma" w:hAnsi="Tahoma" w:cs="Tahoma"/>
      <w:sz w:val="16"/>
      <w:szCs w:val="16"/>
    </w:rPr>
  </w:style>
  <w:style w:type="character" w:styleId="BodyTextChar">
    <w:name w:val="Body Text Char"/>
    <w:qFormat/>
    <w:rPr>
      <w:rFonts w:ascii="VNI-Times" w:hAnsi="VNI-Times" w:cs="VNI-Times"/>
      <w:b/>
      <w:sz w:val="26"/>
    </w:rPr>
  </w:style>
  <w:style w:type="character" w:styleId="BodyTextFirstIndentChar">
    <w:name w:val="Body Text First Indent Char"/>
    <w:basedOn w:val="BodyTextChar"/>
    <w:qFormat/>
    <w:rPr/>
  </w:style>
  <w:style w:type="character" w:styleId="BodyText3Char">
    <w:name w:val="Body Text 3 Char"/>
    <w:qFormat/>
    <w:rPr>
      <w:sz w:val="16"/>
      <w:szCs w:val="16"/>
    </w:rPr>
  </w:style>
  <w:style w:type="character" w:styleId="apple-converted-space">
    <w:name w:val="apple-converted-space"/>
    <w:basedOn w:val="DefaultParagraphFont"/>
    <w:qFormat/>
    <w:rPr/>
  </w:style>
  <w:style w:type="character" w:styleId="HeaderChar">
    <w:name w:val="Header Char"/>
    <w:qFormat/>
    <w:rPr>
      <w:sz w:val="24"/>
      <w:szCs w:val="24"/>
    </w:rPr>
  </w:style>
  <w:style w:type="character" w:styleId="CommentTextChar">
    <w:name w:val="Comment Text Char"/>
    <w:qFormat/>
    <w:rPr>
      <w:rFonts w:ascii="Arial" w:hAnsi="Arial" w:cs="Arial"/>
    </w:rPr>
  </w:style>
  <w:style w:type="character" w:styleId="CommentReference">
    <w:name w:val="Comment Reference"/>
    <w:qFormat/>
    <w:rPr>
      <w:sz w:val="16"/>
      <w:szCs w:val="16"/>
    </w:rPr>
  </w:style>
  <w:style w:type="character" w:styleId="NormalWebChar">
    <w:name w:val="Normal (Web) Char"/>
    <w:qFormat/>
    <w:rPr>
      <w:sz w:val="24"/>
      <w:szCs w:val="24"/>
    </w:rPr>
  </w:style>
  <w:style w:type="character" w:styleId="fontstyle01">
    <w:name w:val="fontstyle01"/>
    <w:qFormat/>
    <w:rPr>
      <w:rFonts w:ascii="Times New Roman" w:hAnsi="Times New Roman" w:cs="Times New Roman"/>
      <w:b/>
      <w:bCs/>
      <w:color w:val="000000"/>
      <w:sz w:val="28"/>
      <w:szCs w:val="28"/>
    </w:rPr>
  </w:style>
  <w:style w:type="character" w:styleId="Strong">
    <w:name w:val="Strong"/>
    <w:qFormat/>
    <w:rPr>
      <w:b/>
      <w:bCs/>
    </w:rPr>
  </w:style>
  <w:style w:type="character" w:styleId="ListParagraphChar">
    <w:name w:val="List Paragraph Char"/>
    <w:qFormat/>
    <w:rPr>
      <w:sz w:val="24"/>
      <w:szCs w:val="24"/>
    </w:rPr>
  </w:style>
  <w:style w:type="character" w:styleId="Hyperlink">
    <w:name w:val="Hyperlink"/>
    <w:rPr>
      <w:color w:val="467886"/>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20"/>
    </w:pPr>
    <w:rPr>
      <w:rFonts w:ascii="VNI-Times" w:hAnsi="VNI-Times" w:cs="VNI-Times"/>
      <w:b/>
      <w:sz w:val="26"/>
      <w:szCs w:val="20"/>
      <w:lang w:val="vi-VN"/>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Normal"/>
    <w:pPr>
      <w:tabs>
        <w:tab w:val="clear" w:pos="720"/>
        <w:tab w:val="center" w:pos="4320" w:leader="none"/>
        <w:tab w:val="right" w:pos="8640" w:leader="none"/>
      </w:tabs>
    </w:pPr>
    <w:rPr>
      <w:rFonts w:ascii="VNI-Times" w:hAnsi="VNI-Times" w:cs="VNI-Times"/>
      <w:sz w:val="26"/>
      <w:szCs w:val="20"/>
      <w:lang w:val="vi-VN"/>
    </w:rPr>
  </w:style>
  <w:style w:type="paragraph" w:styleId="Header">
    <w:name w:val="header"/>
    <w:basedOn w:val="Normal"/>
    <w:pPr>
      <w:tabs>
        <w:tab w:val="clear" w:pos="720"/>
        <w:tab w:val="center" w:pos="4320" w:leader="none"/>
        <w:tab w:val="right" w:pos="8640" w:leader="none"/>
      </w:tabs>
    </w:pPr>
    <w:rPr/>
  </w:style>
  <w:style w:type="paragraph" w:styleId="BodyTextIndent">
    <w:name w:val="Body Text Indent"/>
    <w:basedOn w:val="Normal"/>
    <w:pPr>
      <w:spacing w:before="0" w:after="360"/>
      <w:ind w:firstLine="709" w:left="0" w:right="0"/>
      <w:jc w:val="both"/>
    </w:pPr>
    <w:rPr>
      <w:rFonts w:ascii=".VnTime;#9Slide03 Cousine" w:hAnsi=".VnTime;#9Slide03 Cousine" w:cs=".VnTime;#9Slide03 Cousine"/>
      <w:sz w:val="28"/>
      <w:szCs w:val="20"/>
      <w:lang w:val="vi-VN"/>
    </w:rPr>
  </w:style>
  <w:style w:type="paragraph" w:styleId="NormalWeb">
    <w:name w:val="Normal (Web)"/>
    <w:basedOn w:val="Normal"/>
    <w:qFormat/>
    <w:pPr>
      <w:spacing w:before="280" w:after="280"/>
    </w:pPr>
    <w:rPr/>
  </w:style>
  <w:style w:type="paragraph" w:styleId="Subtitle">
    <w:name w:val="Subtitle"/>
    <w:basedOn w:val="Normal"/>
    <w:next w:val="Normal"/>
    <w:qFormat/>
    <w:pPr>
      <w:spacing w:before="0" w:after="60"/>
      <w:jc w:val="center"/>
      <w:outlineLvl w:val="1"/>
    </w:pPr>
    <w:rPr>
      <w:lang w:val="vi-VN"/>
    </w:rPr>
  </w:style>
  <w:style w:type="paragraph" w:styleId="BalloonText">
    <w:name w:val="Balloon Text"/>
    <w:basedOn w:val="Normal"/>
    <w:qFormat/>
    <w:pPr/>
    <w:rPr>
      <w:rFonts w:ascii="Tahoma" w:hAnsi="Tahoma" w:cs="Tahoma"/>
      <w:sz w:val="16"/>
      <w:szCs w:val="16"/>
      <w:lang w:val="vi-VN"/>
    </w:rPr>
  </w:style>
  <w:style w:type="paragraph" w:styleId="BodyTextFirstIndent">
    <w:name w:val="Body Text First Indent"/>
    <w:basedOn w:val="BodyText"/>
    <w:qFormat/>
    <w:pPr>
      <w:ind w:firstLine="210" w:left="0" w:right="0"/>
    </w:pPr>
    <w:rPr>
      <w:rFonts w:ascii="Times New Roman" w:hAnsi="Times New Roman" w:cs="Times New Roman"/>
      <w:b w:val="false"/>
      <w:sz w:val="24"/>
      <w:szCs w:val="24"/>
    </w:rPr>
  </w:style>
  <w:style w:type="paragraph" w:styleId="BodyText3">
    <w:name w:val="Body Text 3"/>
    <w:basedOn w:val="Normal"/>
    <w:qFormat/>
    <w:pPr>
      <w:spacing w:before="0" w:after="120"/>
    </w:pPr>
    <w:rPr>
      <w:sz w:val="16"/>
      <w:szCs w:val="16"/>
      <w:lang w:val="vi-VN"/>
    </w:rPr>
  </w:style>
  <w:style w:type="paragraph" w:styleId="DefaultParagraphFontParaCharCharCharCharChar">
    <w:name w:val="Default Paragraph Font Para Char Char Char Char Char"/>
    <w:qFormat/>
    <w:pPr>
      <w:widowControl/>
      <w:tabs>
        <w:tab w:val="clear" w:pos="720"/>
        <w:tab w:val="left" w:pos="1152" w:leader="none"/>
      </w:tabs>
      <w:bidi w:val="0"/>
      <w:spacing w:lineRule="auto" w:line="312" w:before="120" w:after="120"/>
    </w:pPr>
    <w:rPr>
      <w:rFonts w:ascii="Arial" w:hAnsi="Arial" w:eastAsia="Times New Roman" w:cs="Arial"/>
      <w:color w:val="auto"/>
      <w:sz w:val="26"/>
      <w:szCs w:val="26"/>
      <w:lang w:val="en-US" w:bidi="ar-SA" w:eastAsia="zh-CN"/>
    </w:rPr>
  </w:style>
  <w:style w:type="paragraph" w:styleId="CommentText">
    <w:name w:val="Comment Text"/>
    <w:basedOn w:val="Normal"/>
    <w:qFormat/>
    <w:pPr/>
    <w:rPr>
      <w:rFonts w:ascii="Arial" w:hAnsi="Arial" w:cs="Arial"/>
      <w:sz w:val="20"/>
      <w:szCs w:val="20"/>
    </w:rPr>
  </w:style>
  <w:style w:type="paragraph" w:styleId="ListParagraph">
    <w:name w:val="List Paragraph"/>
    <w:basedOn w:val="Normal"/>
    <w:qFormat/>
    <w:pPr>
      <w:spacing w:before="0" w:after="0"/>
      <w:ind w:hanging="0" w:left="720" w:right="0"/>
      <w:contextualSpacing/>
    </w:pPr>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val="en-US" w:bidi="ar-SA" w:eastAsia="zh-CN"/>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bat-dong-san/nghi-dinh-101-2024-nd-cp-dang-ky-cap-giay-chung-nhan-quyen-su-dung-dat-tai-san-gan-lien-dat-613131.aspx"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1182</TotalTime>
  <Application>LibreOffice/26.2.6.3$Windows_X86_64 LibreOffice_project/8221e31b3ac356a1623c672912a3d2b492f7e3d1</Application>
  <AppVersion>15.0000</AppVersion>
  <Pages>22</Pages>
  <Words>5081</Words>
  <Characters>21173</Characters>
  <CharactersWithSpaces>25678</CharactersWithSpaces>
  <Paragraphs>1299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2025-10-19T22:42:00Z</dcterms:created>
  <dc:creator>Tuan</dc:creator>
  <dc:description/>
  <cp:keywords/>
  <dc:language>vi-VN</dc:language>
  <cp:lastModifiedBy>Hi</cp:lastModifiedBy>
  <cp:lastPrinted>2026-05-06T13:19:00Z</cp:lastPrinted>
  <dcterms:modified xsi:type="dcterms:W3CDTF">2026-10-21T08:50:00Z</dcterms:modified>
  <cp:revision>171</cp:revision>
  <dc:subject/>
  <dc:title>HỘI ĐỒNG NHÂN DÂN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em soat copy">
    <vt:lpwstr>1_x0000__x0000_</vt:lpwstr>
  </property>
</Properties>
</file>