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C3" w:rsidRPr="000743C3" w:rsidRDefault="000743C3" w:rsidP="000743C3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1"/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Mẫu số 01/ĐK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7941"/>
      </w:tblGrid>
      <w:tr w:rsidR="000743C3" w:rsidRPr="000743C3" w:rsidTr="000743C3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23900" cy="666750"/>
                  <wp:effectExtent l="19050" t="0" r="0" b="0"/>
                  <wp:docPr id="1" name="Picture 1" descr="https://files.thuvienphapluat.vn/doc2htm/00608554_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608554_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shd w:val="clear" w:color="auto" w:fill="auto"/>
            <w:hideMark/>
          </w:tcPr>
          <w:p w:rsidR="000743C3" w:rsidRPr="000743C3" w:rsidRDefault="000743C3" w:rsidP="000743C3">
            <w:pPr>
              <w:spacing w:before="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11_name"/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/>
              </w:rPr>
              <w:t>SỔ ĐỊA CHÍNH</w:t>
            </w:r>
            <w:bookmarkEnd w:id="1"/>
          </w:p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PHẦN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ĐĂNG K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TH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ỬA ĐẤT</w:t>
            </w:r>
          </w:p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</w:tbl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4606"/>
        <w:gridCol w:w="564"/>
        <w:gridCol w:w="1598"/>
        <w:gridCol w:w="1880"/>
      </w:tblGrid>
      <w:tr w:rsidR="000743C3" w:rsidRPr="000743C3" w:rsidTr="000743C3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I- Th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ửa đất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thửa: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1.2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tờ bản đồ: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Di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ích (m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Lo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đất: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Hình th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sử dụng: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Đ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 thửa đất: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hạn sử dụng;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Ngu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ồn gốc sử dụng: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Mã: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Tài li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ệu đo đạc sử dụng: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1.10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Nghĩa v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ụ t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chính: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ạn chế quyền sử dụng: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1.12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Xác l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ập quyền đối với thửa đất liền kề: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II- Ngư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được Nh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nư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ớc giao đất để quản l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ý/Ngư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sử dụng đất/Chủ sở hữu t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Ngư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thứ nhất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Tên: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Gi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tờ ph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nhân ho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ặc nh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ân thân: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Đ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2.2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Ngư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thứ hai 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(ghi đối với trường hợp c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 nhi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ều người c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ùng s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ử dụng đất):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III- Tài s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3.1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Tài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thứ nhất: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a)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 sở hữu: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lastRenderedPageBreak/>
              <w:t> 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 sở hữu thứ hai (nếu c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ó):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b)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Đ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ặc điểm của t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Hình th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sở hữu: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d)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hạn sở hữu: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3.2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Tài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thứ hai 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(ghi đối với trường hợp c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 nhi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ều t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ài s</w:t>
            </w:r>
            <w:r w:rsidRPr="000743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ản):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IV-Tình tr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ạng về quyền sử dụng đất, quyền sở hữu t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4.1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Đ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ối với trường hợp chưa được cấp Giấy chứng nhận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a)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điểm đăng k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vào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địa ch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ính: ngày…/…/…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b)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ự ph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ù 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ợp với quy hoạch: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Thông tin các gi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tờ về quyền sử dụng đất, quyền sở hữu t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gắn liền với đất: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d)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Thông tin v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 điều kiện cấp Giấy chứng nhận: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4.2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Đ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ối với trường hợp đ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 đư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ợc cấp Giấy chứng nhận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a)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ph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át hành GCN:</w:t>
            </w:r>
          </w:p>
        </w:tc>
        <w:tc>
          <w:tcPr>
            <w:tcW w:w="21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b)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v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ào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cấp GCN: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Mã GCN: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V- 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ồ sơ thủ tục đăng k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s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VI- Thông tin l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ịch sử 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ình thành th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ửa đất </w:t>
            </w:r>
            <w:r w:rsidRPr="000743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(trong trường hợp t</w:t>
            </w:r>
            <w:r w:rsidRPr="000743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ách th</w:t>
            </w:r>
            <w:r w:rsidRPr="000743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ửa đất, hợp thửa đất):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VII- Bi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động đất đai, t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28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7.1. Th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điểm đăng k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</w:t>
            </w:r>
          </w:p>
        </w:tc>
        <w:tc>
          <w:tcPr>
            <w:tcW w:w="21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7.2. N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ội dung thay đổi v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cơ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ph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lý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1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ữ k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đi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3C3" w:rsidRPr="000743C3" w:rsidRDefault="000743C3" w:rsidP="000743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3C3" w:rsidRPr="000743C3" w:rsidRDefault="000743C3" w:rsidP="000743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3C3" w:rsidRPr="000743C3" w:rsidRDefault="000743C3" w:rsidP="000743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3C3" w:rsidRPr="000743C3" w:rsidRDefault="000743C3" w:rsidP="000743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3C3" w:rsidRPr="000743C3" w:rsidRDefault="000743C3" w:rsidP="000743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</w:tr>
    </w:tbl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7941"/>
      </w:tblGrid>
      <w:tr w:rsidR="000743C3" w:rsidRPr="000743C3" w:rsidTr="000743C3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23900" cy="666750"/>
                  <wp:effectExtent l="19050" t="0" r="0" b="0"/>
                  <wp:docPr id="2" name="Picture 2" descr="https://files.thuvienphapluat.vn/doc2htm/00608554_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608554_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shd w:val="clear" w:color="auto" w:fill="auto"/>
            <w:hideMark/>
          </w:tcPr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/>
              </w:rPr>
              <w:t>SỔ ĐỊA CHÍNH</w:t>
            </w:r>
          </w:p>
          <w:p w:rsidR="000743C3" w:rsidRPr="000743C3" w:rsidRDefault="000743C3" w:rsidP="000743C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PHẦN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ĐĂNG K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CĂN 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Ộ, C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ÔNG TRÌNH XÂY D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ỰNG 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KHÁC C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DỰ 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 B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ẤT ĐỘNG SẢN</w:t>
            </w:r>
          </w:p>
        </w:tc>
      </w:tr>
    </w:tbl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1974"/>
        <w:gridCol w:w="4794"/>
        <w:gridCol w:w="1880"/>
      </w:tblGrid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 - Tên tài s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lastRenderedPageBreak/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II - Thu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ộc nh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chung cư/công trình xây d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ựng: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III - Ch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 sở hữu: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 sở hữu thứ nhất: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Tên: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Gi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tờ ph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nhân ho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ặc nh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ân thân: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Đ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 sở hữu thứ hai: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IV - Di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 - Hình th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sở hữu: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 - 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ạng mục được sở hữu chung: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VII - Th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sở hữu: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VIII - Quy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ền sử dụng đất chung: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8.1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thửa: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8.2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tờ bản đồ: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8.3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Di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ích đ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sử dụng chung: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IX - Tình tr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ạng về quyền sở hữu t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9.1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ph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át hành Gi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chứng nhận: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9.2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v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ào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cấp Giấy chứng nhận: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9.3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Mã Gi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chứng nhận: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X - H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ồ sơ thủ tục đăng k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s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ố: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XI - Thay đ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ổi về sử dụng đất, sở hữu t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0743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14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11.1. Th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điểm đăng k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11.2. N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ội dung thay đổi v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cơ s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ph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lý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14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40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3C3" w:rsidRPr="000743C3" w:rsidRDefault="000743C3" w:rsidP="000743C3">
            <w:pPr>
              <w:spacing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ữ k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đi</w:t>
            </w:r>
            <w:r w:rsidRPr="000743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</w:tc>
      </w:tr>
      <w:tr w:rsidR="000743C3" w:rsidRPr="000743C3" w:rsidTr="000743C3">
        <w:trPr>
          <w:tblCellSpacing w:w="0" w:type="dxa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3C3" w:rsidRPr="000743C3" w:rsidRDefault="000743C3" w:rsidP="000743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3C3" w:rsidRPr="000743C3" w:rsidRDefault="000743C3" w:rsidP="000743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3C3" w:rsidRPr="000743C3" w:rsidRDefault="000743C3" w:rsidP="000743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3C3" w:rsidRPr="000743C3" w:rsidRDefault="000743C3" w:rsidP="000743C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</w:tr>
    </w:tbl>
    <w:p w:rsidR="000743C3" w:rsidRPr="000743C3" w:rsidRDefault="000743C3" w:rsidP="000743C3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lastRenderedPageBreak/>
        <w:t> </w:t>
      </w:r>
    </w:p>
    <w:p w:rsidR="000743C3" w:rsidRPr="000743C3" w:rsidRDefault="000743C3" w:rsidP="000743C3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HƯ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ỚNG DẪN THỂ HIỆN TH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TRÊN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Ổ ĐỊA CH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ÍNH</w:t>
      </w:r>
    </w:p>
    <w:p w:rsidR="000743C3" w:rsidRPr="000743C3" w:rsidRDefault="000743C3" w:rsidP="000743C3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I. Nguyên t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ắc chung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color w:val="000000"/>
          <w:sz w:val="20"/>
          <w:szCs w:val="20"/>
          <w:lang/>
        </w:rPr>
        <w:t>1.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được lập theo từng x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ã, phư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ờng, thị trấn hoặc theo cấp huyện đối với nơi kh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có đơn v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 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ành chính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x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ã;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 kết quả đăng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đai, t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ài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gắn liền với đất theo từng thửa đất v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 t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ừng thửa đất dạng 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ình tuy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(sau đ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ây g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ọi chung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đất);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tin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mỗi thửa đất được thể hiện v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ào 01 trang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ri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êng.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color w:val="000000"/>
          <w:sz w:val="20"/>
          <w:szCs w:val="20"/>
          <w:lang/>
        </w:rPr>
        <w:t>2.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ó nhà chung cư, nhà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ở hỗn hợp,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trình xây d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 kh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ác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dự 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án b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động sản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ì ngoài vi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ệc thể hiện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tin v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thửa đất v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 nhà chung cư, nhà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ở hỗn hợp,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trình xây d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 kh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ác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dự 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án b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động sản quy định tại điểm 1 mục n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ày, còn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 kết quả đăng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theo t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ừng căn hộ, mỗi căn hộ được thể hiện v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ào 01 trang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ri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êng.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color w:val="000000"/>
          <w:sz w:val="20"/>
          <w:szCs w:val="20"/>
          <w:lang/>
        </w:rPr>
        <w:t>3. Vi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ệc chỉnh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bi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động tr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ên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địa ch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ính ch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ỉ được thực hiện đối với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ác trư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đ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ã hoàn thành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 tục đăng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bi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động.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color w:val="000000"/>
          <w:sz w:val="20"/>
          <w:szCs w:val="20"/>
          <w:lang/>
        </w:rPr>
        <w:t>4. Trư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đăng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bi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động m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 có thay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ổi một trong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ác thông tin đã đăng ký trên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địa ch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ính nhưng không hình thành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 mới hoặc căn hộ mới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ì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nhật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tin m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thay đổi v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ào trang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địa ch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ính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thửa đất, căn hộ chung cư đ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ó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thay thế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tin cũ đã thay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ổi;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tin cũ trư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khi biến động sẽ được chuyển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ành thông tin l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ịch sử để tra cứu khi cần thiết.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color w:val="000000"/>
          <w:sz w:val="20"/>
          <w:szCs w:val="20"/>
          <w:lang/>
        </w:rPr>
        <w:t>5. Sau khi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nhật, chỉnh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địa ch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ính cho m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ỗi trường hợp đăng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ý, Giám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ốc Văn ph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òng đăng ký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đai hoặc Gi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ám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ốc Chi nh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ánh Văn phòng đăng ký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đai thực hiện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(đi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tử) v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ào góc dư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b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ên ph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của trang sổ địa ch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ính theo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quyền.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II. Đăng ký th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ửa đất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1. Th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ửa đất: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tin theo quy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tại </w:t>
      </w:r>
      <w:bookmarkStart w:id="2" w:name="tc_85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Điều 8 và Điều 9 của Thông tư này</w:t>
      </w:r>
      <w:bookmarkEnd w:id="2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2. Ngư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ời được Nh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 nư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ớc giao đất để quản l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ý/Ngư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ời sử dụng đất/Chủ sở hữu t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ản gắn liền với đất: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Lựa chọn loại đối tượng đăng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thể hiện, nếu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sử dụng đất đăng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thì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 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“Người sử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dụng đất”;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nếu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quản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ì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 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“Người quản l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ý đ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ất”,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trường hợp người sử dụng đất kh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ồng thời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 ch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 sở hữu t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ài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gắn liền với đất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ì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hiện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êm 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“ch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 sở hữu t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ản gắn liền với đất”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v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tin theo quy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tại </w:t>
      </w:r>
      <w:bookmarkStart w:id="3" w:name="tc_86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Điều 12 của Thông tư này</w:t>
      </w:r>
      <w:bookmarkEnd w:id="3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3. Tài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ản gắn liền với đất: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theo quy định tại </w:t>
      </w:r>
      <w:bookmarkStart w:id="4" w:name="tc_87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Điều 10 của Thông tư này</w:t>
      </w:r>
      <w:bookmarkEnd w:id="4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4. Tình tr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ạng về quyền sử dụng đất, quyền sở hữu t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ản gắn liền với đất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/>
        </w:rPr>
        <w:t>4.1 (b). S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ự ph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ù h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ợp với quy hoạch: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thể hiện ph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ù 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ợp hay kh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phù 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ợp với quy hoạch.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/>
        </w:rPr>
        <w:t>4.1(d). Thông tin v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ề điều kiện cấp Giấy chứng nhận: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thể hiện “Kh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 điều kiện cấp Giấy chứng nhận” hoặc “Kh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có nhu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ầu cấp Giấy chứng nhận”.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5. 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ồ sơ thủ tục đăng k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ý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ố: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thể hiện số thứ tự của hồ sơ thủ tục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đăng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ý,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Giấy chứng nhận theo quy định tại </w:t>
      </w:r>
      <w:bookmarkStart w:id="5" w:name="tc_88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khoản 2 Điều 19 của Thông tư này</w:t>
      </w:r>
      <w:bookmarkEnd w:id="5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color w:val="000000"/>
          <w:sz w:val="20"/>
          <w:szCs w:val="20"/>
          <w:lang/>
        </w:rPr>
        <w:t>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hồ sơ đăng k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 ph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được li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ên k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(c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ó đư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dẫn) với hồ sơ qu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ét các gi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 quy định tại </w:t>
      </w:r>
      <w:bookmarkStart w:id="6" w:name="tc_89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điểm a khoản 1 Điều 19 của Thông tư này</w:t>
      </w:r>
      <w:bookmarkEnd w:id="6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6. Thông tin l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ịch sử 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ình thành th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ửa đất: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tin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hiệu của thửa đất trước khi được t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ách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đất, hợp thửa đất.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7.</w:t>
      </w:r>
      <w:r w:rsidRPr="000743C3">
        <w:rPr>
          <w:rFonts w:ascii="Arial" w:eastAsia="Times New Roman" w:hAnsi="Arial" w:cs="Arial"/>
          <w:color w:val="000000"/>
          <w:sz w:val="20"/>
          <w:szCs w:val="20"/>
          <w:lang/>
        </w:rPr>
        <w:t> 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Bi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ến động đất đai, t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ản gắn liền với đất: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/>
        </w:rPr>
        <w:t>7.1. Th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ời điểm đăng k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ý: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 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 th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ông tin ngày tháng năm ch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ý,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nhật biến động v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ào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địa ch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ính.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/>
        </w:rPr>
        <w:t>7.2. N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ội dung thay đổi v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à cơ s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ở ph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áp lý: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 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 theo quy định tại </w:t>
      </w:r>
      <w:bookmarkStart w:id="7" w:name="tc_90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Điều 13 của Thông tư này</w:t>
      </w:r>
      <w:bookmarkEnd w:id="7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III. Đăng ký căn 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ộ, c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trình xây d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ựng kh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ác c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ủa dự 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án b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ất động sản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1. Tên tài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ản: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ác thông tin theo quy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tại </w:t>
      </w:r>
      <w:bookmarkStart w:id="8" w:name="tc_91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khoản 1 Điều 10 của Thông tư này</w:t>
      </w:r>
      <w:bookmarkEnd w:id="8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2. Thu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nh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 chung cư/công trình xây d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ựng: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t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ên nhà chung cư/công trình xây d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lastRenderedPageBreak/>
        <w:t>3. Ch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 sở hữu: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ác thông tin quy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tại </w:t>
      </w:r>
      <w:bookmarkStart w:id="9" w:name="tc_92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Điều 12 của Thông tư này</w:t>
      </w:r>
      <w:bookmarkEnd w:id="9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4. Di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ện t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ích: 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 theo quy định tại </w:t>
      </w:r>
      <w:bookmarkStart w:id="10" w:name="tc_93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khoản 2 Điều 10 của Thông tư này</w:t>
      </w:r>
      <w:bookmarkEnd w:id="10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5. Hình th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ức sở hữu: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thể hiện theo quy định tại </w:t>
      </w:r>
      <w:bookmarkStart w:id="11" w:name="tc_94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khoản 3 Điều 10 của Thông tư này</w:t>
      </w:r>
      <w:bookmarkEnd w:id="11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6. 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ạng mục được sở hữu chung: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theo quy định tại </w:t>
      </w:r>
      <w:bookmarkStart w:id="12" w:name="tc_95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khoản 3 Điều 10 của Thông tư này</w:t>
      </w:r>
      <w:bookmarkEnd w:id="12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7. Th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ời hạn sở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hữu: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như quy định tại </w:t>
      </w:r>
      <w:bookmarkStart w:id="13" w:name="tc_96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khoản 4 Điều 10 của Thông tư này</w:t>
      </w:r>
      <w:bookmarkEnd w:id="13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8. Quy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ền sử dụng đất chung: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/>
        </w:rPr>
        <w:t>8.1. S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ố thửa: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thể hiện số hiệu của thửa đất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ó tòa nhà chung cư/công trình xây d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/>
        </w:rPr>
        <w:t>8.2. S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ố tờ bản đồ: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thể hiện số hiệu tờ bản đồ địa ch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ính ho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mảnh tr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ích đo b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đồ địa ch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ính nơi có 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àm nhà chung cư/công trình xây d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ựng.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/>
        </w:rPr>
        <w:t>8.3. Di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ện t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ích đ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ất sử dụng chung: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thể hiện diện t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ích phần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đất thuộc quyền sử dụng chung của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ác ch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ủ sở hữu theo quy định tại </w:t>
      </w:r>
      <w:bookmarkStart w:id="14" w:name="tc_97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khoản 3 Điều 10 của Thông tư này</w:t>
      </w:r>
      <w:bookmarkEnd w:id="14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9. Tình tr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ạng về quyền sở hữu t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ản gắn liền với đất: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c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ác thông tin quy đ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tại </w:t>
      </w:r>
      <w:bookmarkStart w:id="15" w:name="tc_98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khoản 2 Điều 11 của Thông tư này</w:t>
      </w:r>
      <w:bookmarkEnd w:id="15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10. H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ồ sơ thủ tục đăng k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ý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ố: 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Thể hiện theo quy định tại </w:t>
      </w:r>
      <w:bookmarkStart w:id="16" w:name="tc_99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khoản</w:t>
      </w:r>
      <w:r w:rsidRPr="000743C3">
        <w:rPr>
          <w:rFonts w:ascii="Arial" w:eastAsia="Times New Roman" w:hAnsi="Arial" w:cs="Arial"/>
          <w:b/>
          <w:bCs/>
          <w:color w:val="0000FF"/>
          <w:sz w:val="20"/>
          <w:szCs w:val="20"/>
          <w:lang w:val="vi-VN"/>
        </w:rPr>
        <w:t> </w:t>
      </w:r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2 Điều 19 của Thông tư này</w:t>
      </w:r>
      <w:bookmarkEnd w:id="16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11. Thay đ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ổi về sử dụng đất, sở hữu t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s</w:t>
      </w:r>
      <w:r w:rsidRPr="000743C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ản gắn liền với đất:</w:t>
      </w:r>
    </w:p>
    <w:p w:rsidR="000743C3" w:rsidRPr="000743C3" w:rsidRDefault="000743C3" w:rsidP="000743C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/>
        </w:rPr>
        <w:t>11.1. Th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ời điểm đăng k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ý: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 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 ng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ày tháng năm ch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l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ý, c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nhật biến động v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ào s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địa ch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ính.</w:t>
      </w:r>
    </w:p>
    <w:p w:rsidR="000743C3" w:rsidRPr="000743C3" w:rsidRDefault="000743C3" w:rsidP="000743C3">
      <w:pPr>
        <w:shd w:val="clear" w:color="auto" w:fill="FFFFFF"/>
        <w:spacing w:before="0" w:after="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/>
        </w:rPr>
        <w:t>11.2. N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ội dung thay đổi v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à cơ s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ở ph</w:t>
      </w:r>
      <w:r w:rsidRPr="000743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áp lý:</w:t>
      </w:r>
      <w:r w:rsidRPr="000743C3">
        <w:rPr>
          <w:rFonts w:ascii="Arial" w:eastAsia="Times New Roman" w:hAnsi="Arial" w:cs="Arial"/>
          <w:color w:val="000000"/>
          <w:sz w:val="20"/>
          <w:szCs w:val="20"/>
        </w:rPr>
        <w:t> th</w:t>
      </w:r>
      <w:r w:rsidRPr="000743C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hiện theo quy định tại </w:t>
      </w:r>
      <w:bookmarkStart w:id="17" w:name="tc_100"/>
      <w:r w:rsidRPr="000743C3">
        <w:rPr>
          <w:rFonts w:ascii="Arial" w:eastAsia="Times New Roman" w:hAnsi="Arial" w:cs="Arial"/>
          <w:color w:val="0000FF"/>
          <w:sz w:val="20"/>
          <w:szCs w:val="20"/>
          <w:lang w:val="vi-VN"/>
        </w:rPr>
        <w:t>Điều 13 của Thông tư này</w:t>
      </w:r>
      <w:bookmarkEnd w:id="17"/>
      <w:r w:rsidRPr="000743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743C3"/>
    <w:rsid w:val="000743C3"/>
    <w:rsid w:val="000F172E"/>
    <w:rsid w:val="005A7ECC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3C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6036</Characters>
  <Application>Microsoft Office Word</Application>
  <DocSecurity>0</DocSecurity>
  <Lines>50</Lines>
  <Paragraphs>14</Paragraphs>
  <ScaleCrop>false</ScaleCrop>
  <Company>Grizli777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2024-08-12T04:51:00Z</dcterms:created>
  <dcterms:modified xsi:type="dcterms:W3CDTF">2024-08-12T04:52:00Z</dcterms:modified>
</cp:coreProperties>
</file>