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28"/>
        <w:gridCol w:w="8815"/>
      </w:tblGrid>
      <w:tr w:rsidR="00AA2FFB" w:rsidRPr="00ED643C" w:rsidTr="004D279B">
        <w:trPr>
          <w:trHeight w:val="460"/>
        </w:trPr>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b/>
                <w:bCs/>
                <w:color w:val="333333"/>
                <w:sz w:val="28"/>
              </w:rPr>
              <w:t>STT</w:t>
            </w:r>
          </w:p>
        </w:tc>
        <w:tc>
          <w:tcPr>
            <w:tcW w:w="10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b/>
                <w:bCs/>
                <w:color w:val="333333"/>
                <w:sz w:val="28"/>
              </w:rPr>
              <w:t>Thông tin phải công khai</w:t>
            </w:r>
          </w:p>
        </w:tc>
      </w:tr>
      <w:tr w:rsidR="00AA2FFB" w:rsidRPr="00ED643C" w:rsidTr="004D279B">
        <w:trPr>
          <w:trHeight w:val="460"/>
        </w:trPr>
        <w:tc>
          <w:tcPr>
            <w:tcW w:w="1182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b/>
                <w:bCs/>
                <w:color w:val="333333"/>
                <w:sz w:val="28"/>
              </w:rPr>
              <w:t>             Thông tin về dự án bất động sản</w:t>
            </w:r>
          </w:p>
        </w:tc>
      </w:tr>
      <w:tr w:rsidR="00AA2FFB" w:rsidRPr="00ED643C" w:rsidTr="004D279B">
        <w:trPr>
          <w:trHeight w:val="900"/>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1</w:t>
            </w:r>
          </w:p>
        </w:tc>
        <w:tc>
          <w:tcPr>
            <w:tcW w:w="10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left"/>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Quyết định chủ trương đầu tư hoặc chấp thuận chủ trương đầu tư hoặc chấp thuận đầu tư dự án bất động sản;</w:t>
            </w:r>
          </w:p>
        </w:tc>
      </w:tr>
      <w:tr w:rsidR="00AA2FFB" w:rsidRPr="00ED643C" w:rsidTr="004D279B">
        <w:trPr>
          <w:trHeight w:val="900"/>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2</w:t>
            </w:r>
          </w:p>
        </w:tc>
        <w:tc>
          <w:tcPr>
            <w:tcW w:w="10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left"/>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Quyết định giao đất, cho thuê đất, cho phép chuyển mục đích sử dụng đất của cơ quan nhà nước có thẩm quyền;</w:t>
            </w:r>
          </w:p>
        </w:tc>
      </w:tr>
      <w:tr w:rsidR="00AA2FFB" w:rsidRPr="00ED643C" w:rsidTr="004D279B">
        <w:trPr>
          <w:trHeight w:val="900"/>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3</w:t>
            </w:r>
          </w:p>
        </w:tc>
        <w:tc>
          <w:tcPr>
            <w:tcW w:w="10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left"/>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Thông tin về quy hoạch chi tiết được cơ quan nhà nước có thẩm quyền phê duyệt;</w:t>
            </w:r>
          </w:p>
        </w:tc>
      </w:tr>
      <w:tr w:rsidR="00AA2FFB" w:rsidRPr="00ED643C" w:rsidTr="004D279B">
        <w:trPr>
          <w:trHeight w:val="900"/>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4</w:t>
            </w:r>
          </w:p>
        </w:tc>
        <w:tc>
          <w:tcPr>
            <w:tcW w:w="10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left"/>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Hợp đồng mẫu được sử dụng để ký kết trong giao dịch kinh doanh bất động sản theo quy định của </w:t>
            </w:r>
            <w:hyperlink r:id="rId4" w:tgtFrame="_blank" w:history="1">
              <w:r w:rsidRPr="00ED643C">
                <w:rPr>
                  <w:rFonts w:ascii="Helvetica" w:eastAsia="Times New Roman" w:hAnsi="Helvetica" w:cs="Helvetica"/>
                  <w:color w:val="0000FF"/>
                  <w:sz w:val="28"/>
                </w:rPr>
                <w:t>Luật Kinh doanh bất động sản 2023</w:t>
              </w:r>
            </w:hyperlink>
            <w:r w:rsidRPr="00ED643C">
              <w:rPr>
                <w:rFonts w:ascii="Helvetica" w:eastAsia="Times New Roman" w:hAnsi="Helvetica" w:cs="Helvetica"/>
                <w:color w:val="333333"/>
                <w:sz w:val="28"/>
                <w:szCs w:val="28"/>
              </w:rPr>
              <w:t>.</w:t>
            </w:r>
          </w:p>
        </w:tc>
      </w:tr>
      <w:tr w:rsidR="00AA2FFB" w:rsidRPr="00ED643C" w:rsidTr="004D279B">
        <w:trPr>
          <w:trHeight w:val="460"/>
        </w:trPr>
        <w:tc>
          <w:tcPr>
            <w:tcW w:w="1182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b/>
                <w:bCs/>
                <w:color w:val="333333"/>
                <w:sz w:val="28"/>
              </w:rPr>
              <w:t>Thông tin về nhà ở, công trình xây dựng hình thành trong tương lai</w:t>
            </w:r>
          </w:p>
        </w:tc>
      </w:tr>
      <w:tr w:rsidR="00AA2FFB" w:rsidRPr="00ED643C" w:rsidTr="004D279B">
        <w:trPr>
          <w:trHeight w:val="1780"/>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5</w:t>
            </w:r>
          </w:p>
        </w:tc>
        <w:tc>
          <w:tcPr>
            <w:tcW w:w="10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left"/>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Loại bất động sản; vị trí, quy mô, tiến độ xây dựng, công năng sử dụng của bất động sản; thông tin về phần diện tích sử dụng chung đối với bất động sản là nhà chung cư, công trình xây dựng, tòa nhà hỗn hợp nhiều mục đích sử dụng;</w:t>
            </w:r>
          </w:p>
        </w:tc>
      </w:tr>
      <w:tr w:rsidR="00AA2FFB" w:rsidRPr="00ED643C" w:rsidTr="004D279B">
        <w:trPr>
          <w:trHeight w:val="3980"/>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6</w:t>
            </w:r>
          </w:p>
        </w:tc>
        <w:tc>
          <w:tcPr>
            <w:tcW w:w="10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left"/>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Thiết kế cơ sở trong báo cáo nghiên cứu khả thi đầu tư xây dựng đã được thẩm định theo quy định của pháp luật về xây dựng; giấy phép xây dựng đối với trường hợp phải cấp giấy phép xây dựng; thông báo khởi công xây dựng công trình; giấy tờ về nghiệm thu việc đã hoàn thành xây dựng cơ sở hạ tầng kỹ thuật theo quy định của pháp luật về xây dựng tương ứng theo tiến độ dự án; giấy tờ chứng minh đã được nghiệm thu hoàn thành xây dựng phần móng theo quy định của pháp luật về xây dựng đối với trường hợp là nhà chung cư, tòa nhà hỗn hợp có nhà ở;</w:t>
            </w:r>
          </w:p>
        </w:tc>
      </w:tr>
      <w:tr w:rsidR="00AA2FFB" w:rsidRPr="00ED643C" w:rsidTr="004D279B">
        <w:trPr>
          <w:trHeight w:val="900"/>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7</w:t>
            </w:r>
          </w:p>
        </w:tc>
        <w:tc>
          <w:tcPr>
            <w:tcW w:w="10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left"/>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Giấy tờ về quyền sử dụng đất quy định tại khoản 2 Điều 24 </w:t>
            </w:r>
            <w:hyperlink r:id="rId5" w:tgtFrame="_blank" w:history="1">
              <w:r w:rsidRPr="00ED643C">
                <w:rPr>
                  <w:rFonts w:ascii="Helvetica" w:eastAsia="Times New Roman" w:hAnsi="Helvetica" w:cs="Helvetica"/>
                  <w:color w:val="0000FF"/>
                  <w:sz w:val="28"/>
                </w:rPr>
                <w:t>Luật Kinh doanh bất động sản 2023</w:t>
              </w:r>
            </w:hyperlink>
            <w:r w:rsidRPr="00ED643C">
              <w:rPr>
                <w:rFonts w:ascii="Helvetica" w:eastAsia="Times New Roman" w:hAnsi="Helvetica" w:cs="Helvetica"/>
                <w:color w:val="333333"/>
                <w:sz w:val="28"/>
                <w:szCs w:val="28"/>
              </w:rPr>
              <w:t>;</w:t>
            </w:r>
          </w:p>
        </w:tc>
      </w:tr>
      <w:tr w:rsidR="00AA2FFB" w:rsidRPr="00ED643C" w:rsidTr="004D279B">
        <w:trPr>
          <w:trHeight w:val="900"/>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lastRenderedPageBreak/>
              <w:t>8</w:t>
            </w:r>
          </w:p>
        </w:tc>
        <w:tc>
          <w:tcPr>
            <w:tcW w:w="10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left"/>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Thỏa thuận cấp bảo lãnh trong bán, cho thuê mua nhà ở hình thành trong tương lai;</w:t>
            </w:r>
          </w:p>
        </w:tc>
      </w:tr>
      <w:tr w:rsidR="00AA2FFB" w:rsidRPr="00ED643C" w:rsidTr="004D279B">
        <w:trPr>
          <w:trHeight w:val="900"/>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9</w:t>
            </w:r>
          </w:p>
        </w:tc>
        <w:tc>
          <w:tcPr>
            <w:tcW w:w="10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left"/>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Văn bản của cơ quan nhà nước có thẩm quyền về nhà ở hình thành trong tương lai đủ điều kiện được bán, cho thuê mua;</w:t>
            </w:r>
          </w:p>
        </w:tc>
      </w:tr>
      <w:tr w:rsidR="00AA2FFB" w:rsidRPr="00ED643C" w:rsidTr="004D279B">
        <w:trPr>
          <w:trHeight w:val="1780"/>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10</w:t>
            </w:r>
          </w:p>
        </w:tc>
        <w:tc>
          <w:tcPr>
            <w:tcW w:w="10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left"/>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Các hạn chế về quyền sở hữu, quyền sử dụng bất động sản (nếu có); việc thế chấp nhà ở, công trình xây dựng, phần diện tích sàn xây dựng trong công trình xây dựng, quyền sử dụng đất, dự án bất động sản đưa vào kinh doanh.</w:t>
            </w:r>
          </w:p>
        </w:tc>
      </w:tr>
      <w:tr w:rsidR="00AA2FFB" w:rsidRPr="00ED643C" w:rsidTr="004D279B">
        <w:trPr>
          <w:trHeight w:val="460"/>
        </w:trPr>
        <w:tc>
          <w:tcPr>
            <w:tcW w:w="1182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b/>
                <w:bCs/>
                <w:color w:val="333333"/>
                <w:sz w:val="28"/>
              </w:rPr>
              <w:t> Thông tin về nhà ở, công trình xây dựng có sẵn</w:t>
            </w:r>
          </w:p>
        </w:tc>
      </w:tr>
      <w:tr w:rsidR="00AA2FFB" w:rsidRPr="00ED643C" w:rsidTr="004D279B">
        <w:trPr>
          <w:trHeight w:val="3540"/>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11</w:t>
            </w:r>
          </w:p>
        </w:tc>
        <w:tc>
          <w:tcPr>
            <w:tcW w:w="10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left"/>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trừ trường hợp quy định tại điểm b khoản 4 Điều 6 </w:t>
            </w:r>
            <w:hyperlink r:id="rId6" w:tgtFrame="_blank" w:history="1">
              <w:r w:rsidRPr="00ED643C">
                <w:rPr>
                  <w:rFonts w:ascii="Helvetica" w:eastAsia="Times New Roman" w:hAnsi="Helvetica" w:cs="Helvetica"/>
                  <w:color w:val="0000FF"/>
                  <w:sz w:val="28"/>
                </w:rPr>
                <w:t>Luật Kinh doanh bất động sản 2023</w:t>
              </w:r>
            </w:hyperlink>
            <w:r w:rsidRPr="00ED643C">
              <w:rPr>
                <w:rFonts w:ascii="Helvetica" w:eastAsia="Times New Roman" w:hAnsi="Helvetica" w:cs="Helvetica"/>
                <w:color w:val="333333"/>
                <w:sz w:val="28"/>
                <w:szCs w:val="28"/>
              </w:rPr>
              <w:t>;</w:t>
            </w:r>
          </w:p>
        </w:tc>
      </w:tr>
      <w:tr w:rsidR="00AA2FFB" w:rsidRPr="00ED643C" w:rsidTr="004D279B">
        <w:trPr>
          <w:trHeight w:val="1780"/>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12</w:t>
            </w:r>
          </w:p>
        </w:tc>
        <w:tc>
          <w:tcPr>
            <w:tcW w:w="10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left"/>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Trường hợp nhà ở, công trình xây dựng trong dự án bất động sản của chủ đầu tư thì chỉ cần có giấy chứng nhận về quyền sử dụng đất theo quy định của pháp luật về đất đai đối với diện tích đất xây dựng gắn với nhà ở, công trình xây dựng đó;</w:t>
            </w:r>
          </w:p>
        </w:tc>
      </w:tr>
      <w:tr w:rsidR="00AA2FFB" w:rsidRPr="00ED643C" w:rsidTr="004D279B">
        <w:trPr>
          <w:trHeight w:val="1780"/>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13</w:t>
            </w:r>
          </w:p>
        </w:tc>
        <w:tc>
          <w:tcPr>
            <w:tcW w:w="10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left"/>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Các hạn chế về quyền sở hữu, quyền sử dụng bất động sản (nếu có); việc thế chấp nhà ở, công trình xây dựng, phần diện tích sàn xây dựng trong công trình xây dựng, quyền sử dụng đất, dự án bất động sản đưa vào kinh doanh.</w:t>
            </w:r>
          </w:p>
        </w:tc>
      </w:tr>
      <w:tr w:rsidR="00AA2FFB" w:rsidRPr="00ED643C" w:rsidTr="004D279B">
        <w:trPr>
          <w:trHeight w:val="1220"/>
        </w:trPr>
        <w:tc>
          <w:tcPr>
            <w:tcW w:w="1182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A2FFB"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b/>
                <w:bCs/>
                <w:color w:val="333333"/>
                <w:sz w:val="28"/>
              </w:rPr>
              <w:t>Thông tin về quyền sử dụng đất đã có hạ tầng kỹ thuật trong dự án</w:t>
            </w:r>
          </w:p>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b/>
                <w:bCs/>
                <w:color w:val="333333"/>
                <w:sz w:val="28"/>
              </w:rPr>
              <w:t>bất động sản</w:t>
            </w:r>
          </w:p>
        </w:tc>
      </w:tr>
      <w:tr w:rsidR="00AA2FFB" w:rsidRPr="00ED643C" w:rsidTr="004D279B">
        <w:trPr>
          <w:trHeight w:val="1340"/>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lastRenderedPageBreak/>
              <w:t>14</w:t>
            </w:r>
          </w:p>
        </w:tc>
        <w:tc>
          <w:tcPr>
            <w:tcW w:w="10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left"/>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Giấy chứng nhận về quyền sử dụng đất theo quy định của pháp luật về đất đai đối với phần diện tích đất đã có hạ tầng kỹ thuật trong dự án bất động sản;</w:t>
            </w:r>
          </w:p>
        </w:tc>
      </w:tr>
      <w:tr w:rsidR="00AA2FFB" w:rsidRPr="00ED643C" w:rsidTr="004D279B">
        <w:trPr>
          <w:trHeight w:val="1340"/>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15</w:t>
            </w:r>
          </w:p>
        </w:tc>
        <w:tc>
          <w:tcPr>
            <w:tcW w:w="10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left"/>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Văn bản của cơ quan nhà nước có thẩm quyền về quyền sử dụng đất đã có hạ tầng kỹ thuật trong dự án bất động sản đủ điều kiện được chuyển nhượng cho cá nhân tự xây dựng nhà ở;</w:t>
            </w:r>
          </w:p>
        </w:tc>
      </w:tr>
      <w:tr w:rsidR="00AA2FFB" w:rsidRPr="00ED643C" w:rsidTr="004D279B">
        <w:trPr>
          <w:trHeight w:val="1340"/>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16</w:t>
            </w:r>
          </w:p>
        </w:tc>
        <w:tc>
          <w:tcPr>
            <w:tcW w:w="10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left"/>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Giấy tờ về việc hoàn thành đầu tư xây dựng các công trình hạ tầng kỹ thuật theo quy hoạch chi tiết, theo tiến độ dự án được cơ quan nhà nước có thẩm quyền phê duyệt;</w:t>
            </w:r>
          </w:p>
        </w:tc>
      </w:tr>
      <w:tr w:rsidR="00AA2FFB" w:rsidRPr="00ED643C" w:rsidTr="004D279B">
        <w:trPr>
          <w:trHeight w:val="2220"/>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17</w:t>
            </w:r>
          </w:p>
        </w:tc>
        <w:tc>
          <w:tcPr>
            <w:tcW w:w="10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left"/>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Giấy tờ về việc chủ đầu tư dự án đã hoàn thành nghĩa vụ tài chính về đất đai gồm tiền sử dụng đất, tiền thuê đất và các loại thuế, phí, lệ phí liên quan đến đất đai (nếu có) đối với Nhà nước theo quy định của pháp luật đối với phần diện tích đất đã có hạ tầng kỹ thuật trong dự án bất động sản đưa vào kinh doanh;</w:t>
            </w:r>
          </w:p>
        </w:tc>
      </w:tr>
      <w:tr w:rsidR="00AA2FFB" w:rsidRPr="00ED643C" w:rsidTr="004D279B">
        <w:trPr>
          <w:trHeight w:val="1340"/>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center"/>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18</w:t>
            </w:r>
          </w:p>
        </w:tc>
        <w:tc>
          <w:tcPr>
            <w:tcW w:w="10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643C" w:rsidRPr="00ED643C" w:rsidRDefault="00AA2FFB" w:rsidP="004D279B">
            <w:pPr>
              <w:spacing w:before="0" w:after="200" w:line="240" w:lineRule="auto"/>
              <w:jc w:val="left"/>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Các hạn chế về quyền sử dụng đất đã có hạ tầng kỹ thuật trong dự án bất động sản (nếu có); việc thế chấp quyền sử dụng đất, dự án bất động sản đưa vào kinh doanh.</w:t>
            </w:r>
          </w:p>
        </w:tc>
      </w:tr>
    </w:tbl>
    <w:p w:rsidR="00AA2FFB" w:rsidRPr="00ED643C" w:rsidRDefault="00AA2FFB" w:rsidP="00AA2FFB">
      <w:pPr>
        <w:shd w:val="clear" w:color="auto" w:fill="FFFFFF"/>
        <w:spacing w:before="0" w:after="200" w:line="240" w:lineRule="auto"/>
        <w:jc w:val="left"/>
        <w:rPr>
          <w:rFonts w:ascii="Helvetica" w:eastAsia="Times New Roman" w:hAnsi="Helvetica" w:cs="Helvetica"/>
          <w:color w:val="333333"/>
          <w:sz w:val="28"/>
          <w:szCs w:val="28"/>
        </w:rPr>
      </w:pPr>
      <w:r w:rsidRPr="00ED643C">
        <w:rPr>
          <w:rFonts w:ascii="Helvetica" w:eastAsia="Times New Roman" w:hAnsi="Helvetica" w:cs="Helvetica"/>
          <w:color w:val="333333"/>
          <w:sz w:val="28"/>
          <w:szCs w:val="28"/>
        </w:rPr>
        <w:t> Lưu ý: Các thông tin đã công khai phải được cập nhật khi có sự thay đổi.</w:t>
      </w:r>
    </w:p>
    <w:p w:rsidR="00AA2FFB" w:rsidRDefault="00AA2FFB" w:rsidP="00AA2FFB"/>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AA2FFB"/>
    <w:rsid w:val="000F172E"/>
    <w:rsid w:val="009C64DD"/>
    <w:rsid w:val="00A71A13"/>
    <w:rsid w:val="00AA2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at-dong-san/Luat-Kinh-doanh-bat-dong-san-29-2023-QH15-530116.aspx" TargetMode="External"/><Relationship Id="rId5" Type="http://schemas.openxmlformats.org/officeDocument/2006/relationships/hyperlink" Target="https://thuvienphapluat.vn/van-ban/Bat-dong-san/Luat-Kinh-doanh-bat-dong-san-29-2023-QH15-530116.aspx" TargetMode="External"/><Relationship Id="rId4" Type="http://schemas.openxmlformats.org/officeDocument/2006/relationships/hyperlink" Target="https://thuvienphapluat.vn/van-ban/Bat-dong-san/Luat-Kinh-doanh-bat-dong-san-29-2023-QH15-5301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3791</Characters>
  <Application>Microsoft Office Word</Application>
  <DocSecurity>0</DocSecurity>
  <Lines>31</Lines>
  <Paragraphs>8</Paragraphs>
  <ScaleCrop>false</ScaleCrop>
  <Company>Grizli777</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2024-08-15T09:25:00Z</dcterms:created>
  <dcterms:modified xsi:type="dcterms:W3CDTF">2024-08-15T09:25:00Z</dcterms:modified>
</cp:coreProperties>
</file>