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81" w:rsidRPr="00352681" w:rsidRDefault="00352681" w:rsidP="00352681">
      <w:pPr>
        <w:shd w:val="clear" w:color="auto" w:fill="FFFFFF"/>
        <w:spacing w:after="0" w:line="335" w:lineRule="atLeast"/>
        <w:jc w:val="center"/>
        <w:rPr>
          <w:rFonts w:ascii="Arial" w:eastAsia="Times New Roman" w:hAnsi="Arial" w:cs="Arial"/>
          <w:color w:val="000000"/>
          <w:sz w:val="26"/>
          <w:szCs w:val="26"/>
        </w:rPr>
      </w:pPr>
      <w:bookmarkStart w:id="0" w:name="chuong_pl_2"/>
      <w:r w:rsidRPr="00352681">
        <w:rPr>
          <w:rFonts w:ascii="Arial" w:eastAsia="Times New Roman" w:hAnsi="Arial" w:cs="Arial"/>
          <w:b/>
          <w:bCs/>
          <w:color w:val="000000"/>
          <w:sz w:val="24"/>
          <w:szCs w:val="24"/>
          <w:lang w:val="nl-NL"/>
        </w:rPr>
        <w:t>PHỤ LỤC II</w:t>
      </w:r>
      <w:bookmarkEnd w:id="0"/>
    </w:p>
    <w:p w:rsidR="00352681" w:rsidRPr="00352681" w:rsidRDefault="00352681" w:rsidP="00352681">
      <w:pPr>
        <w:shd w:val="clear" w:color="auto" w:fill="FFFFFF"/>
        <w:spacing w:after="0" w:line="335" w:lineRule="atLeast"/>
        <w:jc w:val="center"/>
        <w:rPr>
          <w:rFonts w:ascii="Arial" w:eastAsia="Times New Roman" w:hAnsi="Arial" w:cs="Arial"/>
          <w:color w:val="000000"/>
          <w:sz w:val="26"/>
          <w:szCs w:val="26"/>
        </w:rPr>
      </w:pPr>
      <w:bookmarkStart w:id="1" w:name="chuong_pl_2_name"/>
      <w:r w:rsidRPr="00352681">
        <w:rPr>
          <w:rFonts w:ascii="Arial" w:eastAsia="Times New Roman" w:hAnsi="Arial" w:cs="Arial"/>
          <w:color w:val="000000"/>
          <w:sz w:val="26"/>
          <w:szCs w:val="26"/>
          <w:lang w:val="nl-NL"/>
        </w:rPr>
        <w:t>MỨC PHÍ BẢO HIỂM VÀ MỨC KHẤU TRỪ BẢO HIỂM CHÁY, NỔ BẮT BUỘC</w:t>
      </w:r>
      <w:bookmarkEnd w:id="1"/>
      <w:r w:rsidRPr="00352681">
        <w:rPr>
          <w:rFonts w:ascii="Arial" w:eastAsia="Times New Roman" w:hAnsi="Arial" w:cs="Arial"/>
          <w:b/>
          <w:bCs/>
          <w:color w:val="000000"/>
          <w:sz w:val="26"/>
          <w:szCs w:val="26"/>
          <w:lang w:val="nl-NL"/>
        </w:rPr>
        <w:br/>
      </w:r>
      <w:r w:rsidRPr="00352681">
        <w:rPr>
          <w:rFonts w:ascii="Arial" w:eastAsia="Times New Roman" w:hAnsi="Arial" w:cs="Arial"/>
          <w:i/>
          <w:iCs/>
          <w:color w:val="000000"/>
          <w:sz w:val="26"/>
          <w:szCs w:val="26"/>
          <w:lang w:val="nl-NL"/>
        </w:rPr>
        <w:t>(Kèm theo Nghị định số 67/2023/NĐ-CP ngày 06 tháng 9 năm 2023 của Chính phủ)</w:t>
      </w:r>
    </w:p>
    <w:p w:rsidR="00352681" w:rsidRPr="00352681" w:rsidRDefault="00352681" w:rsidP="00352681">
      <w:pPr>
        <w:shd w:val="clear" w:color="auto" w:fill="FFFFFF"/>
        <w:spacing w:after="0" w:line="335" w:lineRule="atLeast"/>
        <w:rPr>
          <w:rFonts w:ascii="Arial" w:eastAsia="Times New Roman" w:hAnsi="Arial" w:cs="Arial"/>
          <w:color w:val="000000"/>
          <w:sz w:val="26"/>
          <w:szCs w:val="26"/>
        </w:rPr>
      </w:pPr>
      <w:bookmarkStart w:id="2" w:name="muc_1_pl"/>
      <w:r w:rsidRPr="00352681">
        <w:rPr>
          <w:rFonts w:ascii="Arial" w:eastAsia="Times New Roman" w:hAnsi="Arial" w:cs="Arial"/>
          <w:b/>
          <w:bCs/>
          <w:color w:val="000000"/>
          <w:sz w:val="26"/>
          <w:szCs w:val="26"/>
          <w:lang w:val="nl-NL"/>
        </w:rPr>
        <w:t>I. MỨC PHÍ BẢO HIỂM (CHƯA BAO GỒM THUẾ GTGT)</w:t>
      </w:r>
      <w:bookmarkEnd w:id="2"/>
    </w:p>
    <w:p w:rsidR="00352681" w:rsidRPr="00352681" w:rsidRDefault="00352681" w:rsidP="00352681">
      <w:pPr>
        <w:shd w:val="clear" w:color="auto" w:fill="FFFFFF"/>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lang w:val="nl-NL"/>
        </w:rPr>
        <w:t>1. Đối với cơ sở có nguy hiểm về cháy, nổ (trừ cơ sở hạt nhân) </w:t>
      </w:r>
      <w:r w:rsidRPr="00352681">
        <w:rPr>
          <w:rFonts w:ascii="Arial" w:eastAsia="Times New Roman" w:hAnsi="Arial" w:cs="Arial"/>
          <w:color w:val="000000"/>
          <w:sz w:val="26"/>
          <w:szCs w:val="26"/>
        </w:rPr>
        <w:t>quy định tại Phụ lục II ban hành kèm theo Nghị định số </w:t>
      </w:r>
      <w:hyperlink r:id="rId4" w:tgtFrame="_blank" w:tooltip="Nghị định 136/2020/NĐ-CP" w:history="1">
        <w:r w:rsidRPr="00352681">
          <w:rPr>
            <w:rFonts w:ascii="Arial" w:eastAsia="Times New Roman" w:hAnsi="Arial" w:cs="Arial"/>
            <w:color w:val="0E70C3"/>
            <w:sz w:val="26"/>
          </w:rPr>
          <w:t>136/2020/NĐ-CP</w:t>
        </w:r>
      </w:hyperlink>
      <w:r w:rsidRPr="00352681">
        <w:rPr>
          <w:rFonts w:ascii="Arial" w:eastAsia="Times New Roman" w:hAnsi="Arial" w:cs="Arial"/>
          <w:color w:val="000000"/>
          <w:sz w:val="26"/>
          <w:szCs w:val="26"/>
        </w:rPr>
        <w:t> ngày 24 tháng 11 năm 2020 của Chính phủ quy định chi tiết thi hành một số điều của </w:t>
      </w:r>
      <w:bookmarkStart w:id="3" w:name="tvpllink_vcxpttecjf_1"/>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"https://thuvienphapluat.vn/van-ban/Tai-nguyen-Moi-truong/Luat-phong-chay-chua-chay-2001-47923.aspx"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Phòng cháy và chữa cháy</w:t>
      </w:r>
      <w:r w:rsidRPr="00352681">
        <w:rPr>
          <w:rFonts w:ascii="Arial" w:eastAsia="Times New Roman" w:hAnsi="Arial" w:cs="Arial"/>
          <w:color w:val="000000"/>
          <w:sz w:val="26"/>
          <w:szCs w:val="26"/>
        </w:rPr>
        <w:fldChar w:fldCharType="end"/>
      </w:r>
      <w:bookmarkEnd w:id="3"/>
      <w:r w:rsidRPr="00352681">
        <w:rPr>
          <w:rFonts w:ascii="Arial" w:eastAsia="Times New Roman" w:hAnsi="Arial" w:cs="Arial"/>
          <w:color w:val="000000"/>
          <w:sz w:val="26"/>
          <w:szCs w:val="26"/>
        </w:rPr>
        <w:t> và </w:t>
      </w:r>
      <w:bookmarkStart w:id="4" w:name="tvpllink_sennbtmusx_1"/>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"https://thuvienphapluat.vn/van-ban/Van-hoa-Xa-hoi/Luat-phong-chay-chua-chay-sua-doi-2013-215841.aspx"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sửa đổi, bổ sung một số điều của Luật Phòng cháy và chữa cháy</w:t>
      </w:r>
      <w:r w:rsidRPr="00352681">
        <w:rPr>
          <w:rFonts w:ascii="Arial" w:eastAsia="Times New Roman" w:hAnsi="Arial" w:cs="Arial"/>
          <w:color w:val="000000"/>
          <w:sz w:val="26"/>
          <w:szCs w:val="26"/>
        </w:rPr>
        <w:fldChar w:fldCharType="end"/>
      </w:r>
      <w:bookmarkEnd w:id="4"/>
      <w:r w:rsidRPr="00352681">
        <w:rPr>
          <w:rFonts w:ascii="Arial" w:eastAsia="Times New Roman" w:hAnsi="Arial" w:cs="Arial"/>
          <w:color w:val="000000"/>
          <w:sz w:val="26"/>
          <w:szCs w:val="26"/>
        </w:rPr>
        <w:t> và văn bản sửa đổi, bổ sung, thay thế (nếu có) có tổng số tiền bảo hiểm của các tài sản tại một địa điểm dưới 1.000 tỷ đồng, mức phí bảo hiểm</w:t>
      </w:r>
      <w:r w:rsidRPr="00352681">
        <w:rPr>
          <w:rFonts w:ascii="Arial" w:eastAsia="Times New Roman" w:hAnsi="Arial" w:cs="Arial"/>
          <w:color w:val="000000"/>
          <w:sz w:val="26"/>
          <w:szCs w:val="26"/>
          <w:lang w:val="nl-NL"/>
        </w:rPr>
        <w:t>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tblPr>
      <w:tblGrid>
        <w:gridCol w:w="778"/>
        <w:gridCol w:w="6582"/>
        <w:gridCol w:w="908"/>
        <w:gridCol w:w="1348"/>
      </w:tblGrid>
      <w:tr w:rsidR="00352681" w:rsidRPr="00352681" w:rsidTr="00352681">
        <w:trPr>
          <w:tblHeade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b/>
                <w:bCs/>
                <w:color w:val="000000"/>
                <w:sz w:val="26"/>
                <w:szCs w:val="26"/>
              </w:rPr>
              <w:t>STT</w:t>
            </w:r>
          </w:p>
        </w:tc>
        <w:tc>
          <w:tcPr>
            <w:tcW w:w="64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b/>
                <w:bCs/>
                <w:color w:val="000000"/>
                <w:sz w:val="26"/>
                <w:szCs w:val="26"/>
              </w:rPr>
              <w:t>Danh mục cơ sở có nguy hiểm về cháy, nổ</w:t>
            </w:r>
          </w:p>
        </w:tc>
        <w:tc>
          <w:tcPr>
            <w:tcW w:w="89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b/>
                <w:bCs/>
                <w:color w:val="000000"/>
                <w:sz w:val="26"/>
                <w:szCs w:val="26"/>
              </w:rPr>
              <w:t>Mức khấu trừ</w:t>
            </w:r>
          </w:p>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b/>
                <w:bCs/>
                <w:color w:val="000000"/>
                <w:sz w:val="26"/>
                <w:szCs w:val="26"/>
              </w:rPr>
              <w:t>(loại)</w:t>
            </w:r>
          </w:p>
        </w:tc>
        <w:tc>
          <w:tcPr>
            <w:tcW w:w="13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b/>
                <w:bCs/>
                <w:color w:val="000000"/>
                <w:sz w:val="26"/>
                <w:szCs w:val="26"/>
              </w:rPr>
              <w:t>Tỷ lệ phí bảo hiểm/ năm</w:t>
            </w:r>
          </w:p>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b/>
                <w:bCs/>
                <w:color w:val="000000"/>
                <w:sz w:val="26"/>
                <w:szCs w:val="26"/>
              </w:rPr>
              <w:t>(%)</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Trụ sở cơ quan nhà nước các cấp </w:t>
            </w:r>
            <w:r w:rsidRPr="00352681">
              <w:rPr>
                <w:rFonts w:ascii="Arial" w:eastAsia="Times New Roman" w:hAnsi="Arial" w:cs="Arial"/>
                <w:color w:val="000000"/>
                <w:sz w:val="26"/>
                <w:szCs w:val="26"/>
                <w:lang w:val="en-SG"/>
              </w:rPr>
              <w:t>cao từ 10 tầng trở lên hoặc có tổng khối tích của các khối nhà làm việc từ 25.000 m</w:t>
            </w:r>
            <w:r w:rsidRPr="00352681">
              <w:rPr>
                <w:rFonts w:ascii="Arial" w:eastAsia="Times New Roman" w:hAnsi="Arial" w:cs="Arial"/>
                <w:color w:val="000000"/>
                <w:sz w:val="26"/>
                <w:szCs w:val="26"/>
                <w:vertAlign w:val="superscript"/>
                <w:lang w:val="en-SG"/>
              </w:rPr>
              <w:t>3</w:t>
            </w:r>
            <w:r w:rsidRPr="00352681">
              <w:rPr>
                <w:rFonts w:ascii="Arial" w:eastAsia="Times New Roman" w:hAnsi="Arial" w:cs="Arial"/>
                <w:color w:val="000000"/>
                <w:sz w:val="26"/>
                <w:szCs w:val="26"/>
                <w:lang w:val="en-SG"/>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chung cư, nhà tập thể, nhà ở ký túc xá cao từ 7 tầng trở lên hoặc có tổng khối tích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nhà hỗn hợp cao từ 5 tầng trở lên hoặc có tổng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2.1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chung cư, nhà tập thể, nhà ở ký túc xá, nhà hỗn hợp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2.2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chung cư, nhà tập thể, nhà ở ký túc xá, nhà hỗn hợp không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Nhà trẻ, trường mẫu giáo, mầm non có từ 350 cháu trở lên hoặc có tổng khối tích các khối nhà học tập, </w:t>
            </w:r>
            <w:r w:rsidRPr="00352681">
              <w:rPr>
                <w:rFonts w:ascii="Arial" w:eastAsia="Times New Roman" w:hAnsi="Arial" w:cs="Arial"/>
                <w:color w:val="000000"/>
                <w:sz w:val="26"/>
                <w:szCs w:val="26"/>
              </w:rPr>
              <w:lastRenderedPageBreak/>
              <w:t>phục vụ học tập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trường tiểu học, trung học cơ sở, trung học phổ thông, trường phổ thông có nhiều cấp học có tổng khối tích các khối nhà học tập, phục vụ học tập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cơ sở giáo dục khác được thành lập theo </w:t>
            </w:r>
            <w:bookmarkStart w:id="5" w:name="tvpllink_fdanjboppw"/>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"https://thuvienphapluat.vn/van-ban/Giao-duc/Luat-giao-duc-2019-367665.aspx"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Giáo dục</w:t>
            </w:r>
            <w:r w:rsidRPr="00352681">
              <w:rPr>
                <w:rFonts w:ascii="Arial" w:eastAsia="Times New Roman" w:hAnsi="Arial" w:cs="Arial"/>
                <w:color w:val="000000"/>
                <w:sz w:val="26"/>
                <w:szCs w:val="26"/>
              </w:rPr>
              <w:fldChar w:fldCharType="end"/>
            </w:r>
            <w:bookmarkEnd w:id="5"/>
            <w:r w:rsidRPr="00352681">
              <w:rPr>
                <w:rFonts w:ascii="Arial" w:eastAsia="Times New Roman" w:hAnsi="Arial" w:cs="Arial"/>
                <w:color w:val="000000"/>
                <w:sz w:val="26"/>
                <w:szCs w:val="26"/>
              </w:rPr>
              <w:t> có tổng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w:t>
            </w:r>
            <w:bookmarkStart w:id="6" w:name="tvpllink_bdcahznirl"/>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"https://thuvienphapluat.vn/van-ban/The-thao-Y-te/Luat-15-2023-QH15-kham-benh-chua-benh-372143.aspx"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Khám bệnh, chữa bệnh</w:t>
            </w:r>
            <w:r w:rsidRPr="00352681">
              <w:rPr>
                <w:rFonts w:ascii="Arial" w:eastAsia="Times New Roman" w:hAnsi="Arial" w:cs="Arial"/>
                <w:color w:val="000000"/>
                <w:sz w:val="26"/>
                <w:szCs w:val="26"/>
              </w:rPr>
              <w:fldChar w:fldCharType="end"/>
            </w:r>
            <w:bookmarkEnd w:id="6"/>
            <w:r w:rsidRPr="00352681">
              <w:rPr>
                <w:rFonts w:ascii="Arial" w:eastAsia="Times New Roman" w:hAnsi="Arial" w:cs="Arial"/>
                <w:color w:val="000000"/>
                <w:sz w:val="26"/>
                <w:szCs w:val="26"/>
              </w:rPr>
              <w:t> cao từ 5 tầng trở lên hoặc có tổng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5</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hát, rạp chiếu phim, rạp xiếc có từ 600 chỗ ngồi trở lên; trung tâm hội nghị, tổ chức sự kiện cao từ 5 tầng trở lên hoặc có tổng khối tích của các nhà tổ chức hội nghị, sự kiện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nhà văn hóa, cơ sở kinh doanh dịch vụ karaoke, vũ trường, quán bar, câu lạc bộ, thẩm mỹ viện, kinh doanh dịch vụ xoa bóp, công viên giải trí, vườn thú, thủy cung có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5.1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kinh doanh dịch vụ karaoke, vũ trường, quán bar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0,4</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5.2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Nhà hát, rạp chiếu phim, rạp xiếc; trung tâm hội nghị, tổ chức sự kiện; nhà văn hóa, câu lạc bộ, thẩm mỹ </w:t>
            </w:r>
            <w:r w:rsidRPr="00352681">
              <w:rPr>
                <w:rFonts w:ascii="Arial" w:eastAsia="Times New Roman" w:hAnsi="Arial" w:cs="Arial"/>
                <w:color w:val="000000"/>
                <w:sz w:val="26"/>
                <w:szCs w:val="26"/>
              </w:rPr>
              <w:lastRenderedPageBreak/>
              <w:t>viện, kinh doanh dịch vụ xoa bóp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5.3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Công viên giải trí, vườn thú, thủy cung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6</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Chợ hạng 1, chợ hạng 2; trung tâm thương mại, điện máy, siêu thị, cửa hàng bách hóa, cửa hàng tiện ích, nhà hàng, cửa hàng ăn uống có tổng diện tích kinh doanh từ 500 m</w:t>
            </w:r>
            <w:r w:rsidRPr="00352681">
              <w:rPr>
                <w:rFonts w:ascii="Arial" w:eastAsia="Times New Roman" w:hAnsi="Arial" w:cs="Arial"/>
                <w:color w:val="000000"/>
                <w:sz w:val="26"/>
                <w:szCs w:val="26"/>
                <w:vertAlign w:val="superscript"/>
              </w:rPr>
              <w:t>2</w:t>
            </w:r>
            <w:r w:rsidRPr="00352681">
              <w:rPr>
                <w:rFonts w:ascii="Arial" w:eastAsia="Times New Roman" w:hAnsi="Arial" w:cs="Arial"/>
                <w:color w:val="000000"/>
                <w:sz w:val="26"/>
                <w:szCs w:val="26"/>
              </w:rPr>
              <w:t> trở lên hoặc có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Trung tâm thương mại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0,06</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6.2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Siêu thị, cửa hàng bách hóa, điện máy, cửa hàng tiện ích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0,08</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6.3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hàng, cửa hàng ăn uống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6.4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Chợ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7</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Khách sạn, nhà khách, nhà nghỉ, nhà trọ, cơ sở lưu trú khác được thành lập theo </w:t>
            </w:r>
            <w:bookmarkStart w:id="7" w:name="tvpllink_gwjshhbwvy"/>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"https://thuvienphapluat.vn/van-ban/Van-hoa-Xa-hoi/Luat-du-lich-2017-322936.aspx"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Du lịch</w:t>
            </w:r>
            <w:r w:rsidRPr="00352681">
              <w:rPr>
                <w:rFonts w:ascii="Arial" w:eastAsia="Times New Roman" w:hAnsi="Arial" w:cs="Arial"/>
                <w:color w:val="000000"/>
                <w:sz w:val="26"/>
                <w:szCs w:val="26"/>
              </w:rPr>
              <w:fldChar w:fldCharType="end"/>
            </w:r>
            <w:bookmarkEnd w:id="7"/>
            <w:r w:rsidRPr="00352681">
              <w:rPr>
                <w:rFonts w:ascii="Arial" w:eastAsia="Times New Roman" w:hAnsi="Arial" w:cs="Arial"/>
                <w:color w:val="000000"/>
                <w:sz w:val="26"/>
                <w:szCs w:val="26"/>
              </w:rPr>
              <w:t> cao từ 7 tầng trở lên hoặc có tổng khối tích của các khối nhà phục vụ lưu trú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7.1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Khách sạn, nhà khách, nhà nghỉ, nhà trọ, cơ sở lưu trú khác được thành lập theo </w:t>
            </w:r>
            <w:bookmarkStart w:id="8" w:name="tvpllink_gwjshhbwvy_1"/>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"https://thuvienphapluat.vn/van-ban/Van-hoa-Xa-hoi/Luat-du-lich-2017-322936.aspx"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Du lịch</w:t>
            </w:r>
            <w:r w:rsidRPr="00352681">
              <w:rPr>
                <w:rFonts w:ascii="Arial" w:eastAsia="Times New Roman" w:hAnsi="Arial" w:cs="Arial"/>
                <w:color w:val="000000"/>
                <w:sz w:val="26"/>
                <w:szCs w:val="26"/>
              </w:rPr>
              <w:fldChar w:fldCharType="end"/>
            </w:r>
            <w:bookmarkEnd w:id="8"/>
            <w:r w:rsidRPr="00352681">
              <w:rPr>
                <w:rFonts w:ascii="Arial" w:eastAsia="Times New Roman" w:hAnsi="Arial" w:cs="Arial"/>
                <w:color w:val="000000"/>
                <w:sz w:val="26"/>
                <w:szCs w:val="26"/>
              </w:rPr>
              <w:t>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7.2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Khách sạn, nhà khách, nhà nghỉ, nhà trọ, cơ sở lưu trú khác được thành lập theo </w:t>
            </w:r>
            <w:bookmarkStart w:id="9" w:name="tvpllink_gwjshhbwvy_2"/>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"https://thuvienphapluat.vn/van-ban/Van-hoa-Xa-hoi/Luat-du-lich-2017-322936.aspx"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Du lịch</w:t>
            </w:r>
            <w:r w:rsidRPr="00352681">
              <w:rPr>
                <w:rFonts w:ascii="Arial" w:eastAsia="Times New Roman" w:hAnsi="Arial" w:cs="Arial"/>
                <w:color w:val="000000"/>
                <w:sz w:val="26"/>
                <w:szCs w:val="26"/>
              </w:rPr>
              <w:fldChar w:fldCharType="end"/>
            </w:r>
            <w:bookmarkEnd w:id="9"/>
            <w:r w:rsidRPr="00352681">
              <w:rPr>
                <w:rFonts w:ascii="Arial" w:eastAsia="Times New Roman" w:hAnsi="Arial" w:cs="Arial"/>
                <w:color w:val="000000"/>
                <w:sz w:val="26"/>
                <w:szCs w:val="26"/>
              </w:rPr>
              <w:t> không có hệ thống chữa cháy tự động (sprinkler)</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8</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Nhà làm việc của doanh nghiệp, tổ chức chính trị, xã hội cao từ 7 tầng trở lên hoặc có tổng khối tích của các </w:t>
            </w:r>
            <w:r w:rsidRPr="00352681">
              <w:rPr>
                <w:rFonts w:ascii="Arial" w:eastAsia="Times New Roman" w:hAnsi="Arial" w:cs="Arial"/>
                <w:color w:val="000000"/>
                <w:sz w:val="26"/>
                <w:szCs w:val="26"/>
              </w:rPr>
              <w:lastRenderedPageBreak/>
              <w:t>khối nhà làm việc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9</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Bảo tàng, thư viện, triển lãm, nhà trưng bày, nhà lưu trữ, nhà sách, nhà hội chợ có khối tích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9.1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Bảo tàng, thư viện, nhà trưng bày, nhà lưu trữ</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0,075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9.2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Triển lãm, nhà sách, nhà hội chợ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10</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Bưu điện, cơ sở truyền thanh, truyền hình, viễn thông cao từ 5 tầng trở lên hoặc có khối tích của khối nhà chính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nhà lắp đặt thiết bị thông tin, trung tâm lưu trữ, quản lý dữ liệu có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0,075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Sân vận động có sức chứa từ 40.000 chỗ ngồi trở lên; nhà thi đấu thể thao; cung thể thao trong nhà có sức chứa từ 500 chỗ ngồi trở lên; trung tâm thể dục thể thao, trường đua, trường bắn có tổng khối tích của các nhà thể thao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hoặc có sức chứa từ 5.000 chỗ trở lên; cơ sở thể thao khác được thành lập theo </w:t>
            </w:r>
            <w:bookmarkStart w:id="10" w:name="tvpllink_utbkdjrmjy"/>
            <w:r w:rsidRPr="00352681">
              <w:rPr>
                <w:rFonts w:ascii="Arial" w:eastAsia="Times New Roman" w:hAnsi="Arial" w:cs="Arial"/>
                <w:color w:val="000000"/>
                <w:sz w:val="26"/>
                <w:szCs w:val="26"/>
              </w:rPr>
              <w:fldChar w:fldCharType="begin"/>
            </w:r>
            <w:r w:rsidRPr="00352681">
              <w:rPr>
                <w:rFonts w:ascii="Arial" w:eastAsia="Times New Roman" w:hAnsi="Arial" w:cs="Arial"/>
                <w:color w:val="000000"/>
                <w:sz w:val="26"/>
                <w:szCs w:val="26"/>
              </w:rPr>
              <w:instrText xml:space="preserve"> HYPERLINK "https://thuvienphapluat.vn/van-ban/The-thao-Y-te/Luat-The-duc-The-thao-2006-77-2006-QH11-15870.aspx" \t "_blank" </w:instrText>
            </w:r>
            <w:r w:rsidRPr="00352681">
              <w:rPr>
                <w:rFonts w:ascii="Arial" w:eastAsia="Times New Roman" w:hAnsi="Arial" w:cs="Arial"/>
                <w:color w:val="000000"/>
                <w:sz w:val="26"/>
                <w:szCs w:val="26"/>
              </w:rPr>
              <w:fldChar w:fldCharType="separate"/>
            </w:r>
            <w:r w:rsidRPr="00352681">
              <w:rPr>
                <w:rFonts w:ascii="Arial" w:eastAsia="Times New Roman" w:hAnsi="Arial" w:cs="Arial"/>
                <w:color w:val="0E70C3"/>
                <w:sz w:val="26"/>
              </w:rPr>
              <w:t>Luật Thể dục, thể thao</w:t>
            </w:r>
            <w:r w:rsidRPr="00352681">
              <w:rPr>
                <w:rFonts w:ascii="Arial" w:eastAsia="Times New Roman" w:hAnsi="Arial" w:cs="Arial"/>
                <w:color w:val="000000"/>
                <w:sz w:val="26"/>
                <w:szCs w:val="26"/>
              </w:rPr>
              <w:fldChar w:fldCharType="end"/>
            </w:r>
            <w:bookmarkEnd w:id="10"/>
            <w:r w:rsidRPr="00352681">
              <w:rPr>
                <w:rFonts w:ascii="Arial" w:eastAsia="Times New Roman" w:hAnsi="Arial" w:cs="Arial"/>
                <w:color w:val="000000"/>
                <w:sz w:val="26"/>
                <w:szCs w:val="26"/>
              </w:rPr>
              <w:t> có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0,06</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Cảng hàng không; đài kiểm soát không lưu; bến cảng biển; cảng cạn; cảng thủy nội địa loại I, loại II; bến xe khách loại 1, loại 2; trạm dừng nghỉ loại 1; nhà ga đường sắt, nhà chờ cáp treo vận chuyển người có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công trình tàu điện ngầm; cơ sở đăng kiểm phương tiện giao thông cơ giới; cửa hàng kinh doanh, sửa chữa, bảo dưỡng ô tô, mô tô, xe gắn máy có diện tích kinh doanh từ 500 m</w:t>
            </w:r>
            <w:r w:rsidRPr="00352681">
              <w:rPr>
                <w:rFonts w:ascii="Arial" w:eastAsia="Times New Roman" w:hAnsi="Arial" w:cs="Arial"/>
                <w:color w:val="000000"/>
                <w:sz w:val="26"/>
                <w:szCs w:val="26"/>
                <w:vertAlign w:val="superscript"/>
              </w:rPr>
              <w:t>2</w:t>
            </w:r>
            <w:r w:rsidRPr="00352681">
              <w:rPr>
                <w:rFonts w:ascii="Arial" w:eastAsia="Times New Roman" w:hAnsi="Arial" w:cs="Arial"/>
                <w:color w:val="000000"/>
                <w:sz w:val="26"/>
                <w:szCs w:val="26"/>
              </w:rPr>
              <w:t xml:space="preserve"> trở lên </w:t>
            </w:r>
            <w:r w:rsidRPr="00352681">
              <w:rPr>
                <w:rFonts w:ascii="Arial" w:eastAsia="Times New Roman" w:hAnsi="Arial" w:cs="Arial"/>
                <w:color w:val="000000"/>
                <w:sz w:val="26"/>
                <w:szCs w:val="26"/>
              </w:rPr>
              <w:lastRenderedPageBreak/>
              <w:t>hoặc có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12.1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Bến cảng biển; cảng cạn; cảng thủy nội địa; bến xe khách; trạm dừng nghỉ; nhà chờ cáp treo vận chuyển người; cơ sở đăng kiểm phương tiện giao thông cơ giới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12.2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ga đường sắt; công trình tàu điện ngầm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12.3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Cảng hàng không; đài kiểm soát không lưu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0,08</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12.4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Cửa hàng kinh doanh, sửa chữa, bảo dưỡng ô tô, mô tô, xe gắn máy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Gara để xe có sức chứa từ 10 xe ô tô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15</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15.1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Cơ sở khai thác, chế biến, sản xuất, vận chuyển, kinh doanh, bảo quản dầu mỏ và sản phẩm dầu mỏ, khí đốt </w:t>
            </w:r>
            <w:r w:rsidRPr="00352681">
              <w:rPr>
                <w:rFonts w:ascii="Arial" w:eastAsia="Times New Roman" w:hAnsi="Arial" w:cs="Arial"/>
                <w:color w:val="000000"/>
                <w:sz w:val="26"/>
                <w:szCs w:val="26"/>
              </w:rPr>
              <w:lastRenderedPageBreak/>
              <w:t>trên đất liền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0,35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15.2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0,3</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16</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công nghiệp có hạng nguy hiểm cháy, nổ A, B có tổng khối tích của các khối nhà có dây chuyền công nghệ sản xuất chính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hạng nguy hiểm cháy, nổ C có tổng khối tích của các khối nhà có dây chuyền công nghệ sản xuất chính từ 10.000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hạng nguy hiểm cháy, nổ D, E có tổng khối tích của các khối nhà có dây chuyền công nghệ sản xuất chính từ 15.000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a) Cơ sở sản xuất công nghiệp có hạng nguy hiểm cháy nổ A, B, C (trừ cơ sở sản xuất dệt may, gỗ, giày, giấy)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lưu hóa cao su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hàng thủ công mỹ nghệ</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khắc, chạm (làm chổi, bàn chải, chổi sơn, trừ phần xử lý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Luyện quặng (trừ quặng sắt)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Nhà máy luyện than cốc, sản xuất than đá bánh, than </w:t>
            </w:r>
            <w:r w:rsidRPr="00352681">
              <w:rPr>
                <w:rFonts w:ascii="Arial" w:eastAsia="Times New Roman" w:hAnsi="Arial" w:cs="Arial"/>
                <w:color w:val="000000"/>
                <w:sz w:val="26"/>
                <w:szCs w:val="26"/>
              </w:rPr>
              <w:lastRenderedPageBreak/>
              <w:t>non bánh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Khai thác mỏ quặng kim loại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chế biến phế liệu vải sợi (như phân loại, giặt, chải, buôn bán)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các mặt hàng làm từ da thuộc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sản xuất dây chun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da thuộc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chế biến bàn chải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sơn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hóa chất vô cơ và hữu cơ chế biến nguyên liệu và bán thành phẩm sản phẩm như phân bón dạng hạt, viên nhỏ, bột hoặc axít, muối, dung môi, cao su tổng hợp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sản xuất áo đi mưa, nhựa tấm, khăn trải bàn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xi nến, sáp đánh bóng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nhựa đúc, nhựa thanh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sản xuất nút chai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xà phòng, hóa mỹ phẩm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sản phẩm nhựa lắp ráp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chất dẻo, cao su đặc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các sản phẩm từ cao su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sản xuất hoa giả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in, xưởng in (không tính sản xuất giấy, chế biến giấy)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mực in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đóng sách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thuốc lá và nguyên liệu thuốc lá</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làm phân trộn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đốt rác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sơn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vật liệu xây dựng có gỗ, giấy, chất dễ cháy (trừ sản xuất nội thất bằng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cồn và các chất lỏng dễ cháy khác (trừ dầu mỏ, khí đốt)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pin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vẽ tranh, phông ảnh, làm pano quảng cáo</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Trung tâm tổ chức đám ma/hỏa táng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sản xuất giấy ráp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đóng tàu, sửa chữa tàu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sửa chữa, bảo dưỡng máy bay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 Cơ sở sản xuất dệt may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sản xuất dây thừng, chão trừ chỉ khâu (nếu dây có phủ nhựa, nhựa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sản xuất dây thừng, chão trừ chỉ khâu (nếu dây không có phủ nhựa, nhựa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dệt kim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chế biến lông thú, may da thú</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Nhuộm vải, in trên vải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dệt các loại sợi khác (cotton, vitco, lanh, gai, đay)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xe, kéo sợi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thảm, tấm trải sàn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chỉ khâu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giặt, là, tẩy, hấp, nhuộm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May đồ lót, đăng ten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May quần áo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các sản phẩm dệt chưa phân loại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lụa, tơ tằm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dệt tơ, len, sợi tổng hợp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lông vũ</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 Cơ sở sản xuất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than củi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máy/xưởng sản xuất bút chì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làm rổ, sọt, sản phẩm làm từ mây, tre, nứa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diêm, hương, vàng mã</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máy/xưởng sản xuất, chế biến đồ gỗ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d) Cơ sở sản xuất giày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0,35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16.1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đ) Xưởng sản xuất giấy, chế biến giấy, bao bì carton, bao bì công nghiệp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0,35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16.2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sản xuất công nghiệp có hạng nguy hiểm cháy nổ D, E</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sắt, thép</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chế biến, gia công quặng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Chế biến (sỏi, đá dăm, than xỉ trộn nhựa) với asphant hoặc bitumen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khoáng sản (cưa, mài, đánh bóng)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và chế biến thủy tinh rỗng, chai lọ, dụng cụ quang học, kính cửa, kính tấm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phim, phòng in tráng phim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vật liệu phim ảnh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máy/xưởng đánh bóng, xay xát gạo, bột mỳ, nông sản thực phẩm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chế biến thức ăn gia súc và thức ăn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mì ăn liền, cháo ăn liền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bánh kẹo</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dầu ăn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nước mắm, dấm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thực phẩm đồ hộp, chế biến thủy sản, thịt, sữa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mạch nha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bia, rượu, nước trái cây, nước khoáng và nước uống các loại, xưởng ủ bia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Xưởng hàn, cắt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đồ gốm thông thường và cao cấp như gạch lát, đồ sứ, đồ đất nung, đồ gốm...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Lò đúc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xi măng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Cơ sở sản xuất thiết bị điện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cấu trúc kim loại và cấu kiện lắp sẵn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vỏ đồ hộp kim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ốc vít và gia công các kim loại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xử lý nước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Nhà máy xử lý chất thải rắn (không sử dụng công </w:t>
            </w:r>
            <w:r w:rsidRPr="00352681">
              <w:rPr>
                <w:rFonts w:ascii="Arial" w:eastAsia="Times New Roman" w:hAnsi="Arial" w:cs="Arial"/>
                <w:color w:val="000000"/>
                <w:sz w:val="26"/>
                <w:szCs w:val="26"/>
              </w:rPr>
              <w:lastRenderedPageBreak/>
              <w:t>nghệ đốt)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máy lọc nước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đồng hồ</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pin mặt trời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thiết bị cơ khí</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phụ tùng ô tô, xe đạp, xe máy và phụ tùng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lắp ráp tô tô, xe máy, xe điện...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Sản xuất và chế biến vàng, bạc, đồ trang sức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lắp ráp linh kiện điện tử (máy in, máy ảnh, máy tính, đồ gia dụng...), thiết bị viễn thông, chất bán dẫn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cáp quang, cáp đồng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phụ tùng máy bay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vòng bi, doăng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khóa kéo bằng kim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sản xuất dược phẩm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17</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điện; trạm biến áp có điện áp từ 110 kv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17.1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nhiệt điện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17.2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thủy điện; nhà máy điện nguyên tử, điện địa nhiệt, điện thủy triều, điện rác, điện sinh khối, điện khí biogas, điện đồng phát và nhà máy điện khác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17.3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Nhà máy điện gió, điện mặt trời trên mặt nước</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17.4</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Trạm biến áp có điện áp từ 110 kv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18</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Hầm có hoạt động sản xuất, bảo quản, sử dụng chất cháy, nổ có tổng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 kho hàng hóa, vật tư cháy được hoặc hàng hóa vật tư không cháy đựng trong các bao bì cháy được có tổng khối tích từ 5.000 m</w:t>
            </w:r>
            <w:r w:rsidRPr="00352681">
              <w:rPr>
                <w:rFonts w:ascii="Arial" w:eastAsia="Times New Roman" w:hAnsi="Arial" w:cs="Arial"/>
                <w:color w:val="000000"/>
                <w:sz w:val="26"/>
                <w:szCs w:val="26"/>
                <w:vertAlign w:val="superscript"/>
              </w:rPr>
              <w:t>3</w:t>
            </w:r>
            <w:r w:rsidRPr="00352681">
              <w:rPr>
                <w:rFonts w:ascii="Arial" w:eastAsia="Times New Roman" w:hAnsi="Arial" w:cs="Arial"/>
                <w:color w:val="000000"/>
                <w:sz w:val="26"/>
                <w:szCs w:val="26"/>
              </w:rPr>
              <w:t> trở lên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18.1</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Hầm có hoạt động sản xuất, bảo quản, sử dụng chất cháy, nổ</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18.2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a) Kho hàng hóa, vật tư cháy được (trừ kho bông vải sợi, len dạ, sản phẩm dệt)</w:t>
            </w:r>
          </w:p>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độc lập, không nằm trong phạm vi nhà máy, cơ sở có hoạt động sản xuất)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hàng hóa tổng hợp, bãi hàng hóa</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nhựa đường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sơn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chứa hóa chất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thành phẩm, bán thành phẩm nhựa, cao su</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rượu cồn và các chất lỏng dễ cháy</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giấy, bìa, bao bì</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đồ gỗ và các sản phẩm về gỗ</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tinh dầu, hương liệu, dầu ăn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ngành thuốc lá</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dược phẩm</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vật tư ngành ảnh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hàng thiết bị điện, điện tử</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hàng nông sản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lạnh</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Kho vật liệu xây dựng</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18.2</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b) Kho bông vải sợi, len dạ, sản phẩm dệt</w:t>
            </w:r>
          </w:p>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 xml:space="preserve">(Kho độc lập, không nằm trong phạm vi nhà máy, cơ </w:t>
            </w:r>
            <w:r w:rsidRPr="00352681">
              <w:rPr>
                <w:rFonts w:ascii="Arial" w:eastAsia="Times New Roman" w:hAnsi="Arial" w:cs="Arial"/>
                <w:color w:val="000000"/>
                <w:sz w:val="26"/>
                <w:szCs w:val="26"/>
              </w:rPr>
              <w:lastRenderedPageBreak/>
              <w:t>sở có hoạt động sản xuất)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N</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0,25</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lastRenderedPageBreak/>
              <w:t>18.3</w:t>
            </w: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Hàng hóa vật tư không cháy đựng trong các bao bì cháy được (độc lập, không nằm trong phạm vi nhà máy, cơ sở có hoạt động sản xuất)</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Trong đó:</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Gạch, đồ gốm sứ, xi măng, thạch cao</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Kim loại, phụ tùng cơ khí</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Dầu nhớt, mỡ bôi trơn</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r w:rsidR="00352681" w:rsidRPr="00352681" w:rsidTr="00352681">
        <w:trPr>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64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2681" w:rsidRPr="00352681" w:rsidRDefault="00352681" w:rsidP="00352681">
            <w:pPr>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rPr>
              <w:t>Nước khoáng và đồ uống các loại</w:t>
            </w:r>
          </w:p>
        </w:tc>
        <w:tc>
          <w:tcPr>
            <w:tcW w:w="8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M</w:t>
            </w:r>
          </w:p>
        </w:tc>
        <w:tc>
          <w:tcPr>
            <w:tcW w:w="13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0,1</w:t>
            </w:r>
          </w:p>
        </w:tc>
      </w:tr>
    </w:tbl>
    <w:p w:rsidR="00352681" w:rsidRPr="00352681" w:rsidRDefault="00352681" w:rsidP="00352681">
      <w:pPr>
        <w:shd w:val="clear" w:color="auto" w:fill="FFFFFF"/>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lang w:val="sv-SE"/>
        </w:rPr>
        <w:t>Trường hợp thời hạn bảo hiểm khác 01 năm, phí bảo hiểm được tính dựa trên phí bảo hiểm nêu trên và tương ứng với thời hạn được bảo hiểm. Cách tính cụ thể như sau:</w:t>
      </w:r>
    </w:p>
    <w:tbl>
      <w:tblPr>
        <w:tblW w:w="5000" w:type="pct"/>
        <w:tblCellSpacing w:w="0" w:type="dxa"/>
        <w:shd w:val="clear" w:color="auto" w:fill="FFFFFF"/>
        <w:tblCellMar>
          <w:left w:w="0" w:type="dxa"/>
          <w:right w:w="0" w:type="dxa"/>
        </w:tblCellMar>
        <w:tblLook w:val="04A0"/>
      </w:tblPr>
      <w:tblGrid>
        <w:gridCol w:w="1815"/>
        <w:gridCol w:w="287"/>
        <w:gridCol w:w="4872"/>
        <w:gridCol w:w="477"/>
        <w:gridCol w:w="1909"/>
      </w:tblGrid>
      <w:tr w:rsidR="00352681" w:rsidRPr="00352681" w:rsidTr="00352681">
        <w:trPr>
          <w:tblCellSpacing w:w="0" w:type="dxa"/>
        </w:trPr>
        <w:tc>
          <w:tcPr>
            <w:tcW w:w="950" w:type="pct"/>
            <w:vMerge w:val="restart"/>
            <w:shd w:val="clear" w:color="auto" w:fill="FFFFFF"/>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Phí bảo hiểm phải nộp</w:t>
            </w:r>
          </w:p>
        </w:tc>
        <w:tc>
          <w:tcPr>
            <w:tcW w:w="150" w:type="pct"/>
            <w:vMerge w:val="restart"/>
            <w:shd w:val="clear" w:color="auto" w:fill="FFFFFF"/>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w:t>
            </w:r>
          </w:p>
        </w:tc>
        <w:tc>
          <w:tcPr>
            <w:tcW w:w="2550" w:type="pct"/>
            <w:tcBorders>
              <w:top w:val="nil"/>
              <w:left w:val="nil"/>
              <w:bottom w:val="single" w:sz="8" w:space="0" w:color="auto"/>
              <w:right w:val="nil"/>
            </w:tcBorders>
            <w:shd w:val="clear" w:color="auto" w:fill="FFFFFF"/>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Phí bảo hiểm năm theo danh mục cơ sở có nguy hiểm về cháy, nổ</w:t>
            </w:r>
          </w:p>
        </w:tc>
        <w:tc>
          <w:tcPr>
            <w:tcW w:w="250" w:type="pct"/>
            <w:vMerge w:val="restart"/>
            <w:shd w:val="clear" w:color="auto" w:fill="FFFFFF"/>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x</w:t>
            </w:r>
          </w:p>
        </w:tc>
        <w:tc>
          <w:tcPr>
            <w:tcW w:w="1000" w:type="pct"/>
            <w:vMerge w:val="restart"/>
            <w:shd w:val="clear" w:color="auto" w:fill="FFFFFF"/>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Thời hạn được bảo hiểm (ngày)</w:t>
            </w:r>
          </w:p>
        </w:tc>
      </w:tr>
      <w:tr w:rsidR="00352681" w:rsidRPr="00352681" w:rsidTr="00352681">
        <w:trPr>
          <w:tblCellSpacing w:w="0" w:type="dxa"/>
        </w:trPr>
        <w:tc>
          <w:tcPr>
            <w:tcW w:w="0" w:type="auto"/>
            <w:vMerge/>
            <w:shd w:val="clear" w:color="auto" w:fill="FFFFFF"/>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0" w:type="auto"/>
            <w:vMerge/>
            <w:shd w:val="clear" w:color="auto" w:fill="FFFFFF"/>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2550" w:type="pct"/>
            <w:shd w:val="clear" w:color="auto" w:fill="FFFFFF"/>
            <w:vAlign w:val="center"/>
            <w:hideMark/>
          </w:tcPr>
          <w:p w:rsidR="00352681" w:rsidRPr="00352681" w:rsidRDefault="00352681" w:rsidP="00352681">
            <w:pPr>
              <w:spacing w:before="120" w:after="120" w:line="335" w:lineRule="atLeast"/>
              <w:jc w:val="center"/>
              <w:rPr>
                <w:rFonts w:ascii="Arial" w:eastAsia="Times New Roman" w:hAnsi="Arial" w:cs="Arial"/>
                <w:color w:val="000000"/>
                <w:sz w:val="26"/>
                <w:szCs w:val="26"/>
              </w:rPr>
            </w:pPr>
            <w:r w:rsidRPr="00352681">
              <w:rPr>
                <w:rFonts w:ascii="Arial" w:eastAsia="Times New Roman" w:hAnsi="Arial" w:cs="Arial"/>
                <w:color w:val="000000"/>
                <w:sz w:val="26"/>
                <w:szCs w:val="26"/>
              </w:rPr>
              <w:t>365 (ngày)</w:t>
            </w:r>
          </w:p>
        </w:tc>
        <w:tc>
          <w:tcPr>
            <w:tcW w:w="0" w:type="auto"/>
            <w:vMerge/>
            <w:shd w:val="clear" w:color="auto" w:fill="FFFFFF"/>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c>
          <w:tcPr>
            <w:tcW w:w="0" w:type="auto"/>
            <w:vMerge/>
            <w:shd w:val="clear" w:color="auto" w:fill="FFFFFF"/>
            <w:vAlign w:val="center"/>
            <w:hideMark/>
          </w:tcPr>
          <w:p w:rsidR="00352681" w:rsidRPr="00352681" w:rsidRDefault="00352681" w:rsidP="00352681">
            <w:pPr>
              <w:spacing w:after="0" w:line="240" w:lineRule="auto"/>
              <w:rPr>
                <w:rFonts w:ascii="Arial" w:eastAsia="Times New Roman" w:hAnsi="Arial" w:cs="Arial"/>
                <w:color w:val="000000"/>
                <w:sz w:val="26"/>
                <w:szCs w:val="26"/>
              </w:rPr>
            </w:pPr>
          </w:p>
        </w:tc>
      </w:tr>
    </w:tbl>
    <w:p w:rsidR="00352681" w:rsidRPr="00352681" w:rsidRDefault="00352681" w:rsidP="00352681">
      <w:pPr>
        <w:shd w:val="clear" w:color="auto" w:fill="FFFFFF"/>
        <w:spacing w:before="120" w:after="120" w:line="335" w:lineRule="atLeast"/>
        <w:rPr>
          <w:rFonts w:ascii="Arial" w:eastAsia="Times New Roman" w:hAnsi="Arial" w:cs="Arial"/>
          <w:color w:val="000000"/>
          <w:sz w:val="26"/>
          <w:szCs w:val="26"/>
        </w:rPr>
      </w:pPr>
      <w:r w:rsidRPr="00352681">
        <w:rPr>
          <w:rFonts w:ascii="Arial" w:eastAsia="Times New Roman" w:hAnsi="Arial" w:cs="Arial"/>
          <w:b/>
          <w:bCs/>
          <w:i/>
          <w:iCs/>
          <w:color w:val="000000"/>
          <w:sz w:val="26"/>
          <w:szCs w:val="26"/>
          <w:lang w:val="nl-NL"/>
        </w:rPr>
        <w:t>Ghi chú:</w:t>
      </w:r>
    </w:p>
    <w:p w:rsidR="00352681" w:rsidRPr="00352681" w:rsidRDefault="00352681" w:rsidP="00352681">
      <w:pPr>
        <w:shd w:val="clear" w:color="auto" w:fill="FFFFFF"/>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lang w:val="nl-NL"/>
        </w:rPr>
        <w:t>M, N là các ký hiệu về loại mức khấu trừ bảo hiểm quy định tại khoản 1 Mục II Phụ lục này.</w:t>
      </w:r>
    </w:p>
    <w:p w:rsidR="00352681" w:rsidRPr="00352681" w:rsidRDefault="00352681" w:rsidP="00352681">
      <w:pPr>
        <w:shd w:val="clear" w:color="auto" w:fill="FFFFFF"/>
        <w:spacing w:before="120" w:after="12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lang w:val="nl-NL"/>
        </w:rPr>
        <w:t xml:space="preserve">Đối với Cơ sở công nghiệp có hạng nguy hiểm cháy, nổ A, B, C, D, E (nhóm 16): Trường hợp phân hạng nguy hiểm cháy, nổ của cơ sở sản xuất công nghiệp tại Biên bản kiểm tra kết quả nghiệm thu về phòng cháy và chữa cháy hoặc Biên bản kiểm tra an toàn về phòng cháy và chữa cháy khác so với chi tiết tại nhóm </w:t>
      </w:r>
      <w:r w:rsidRPr="00352681">
        <w:rPr>
          <w:rFonts w:ascii="Arial" w:eastAsia="Times New Roman" w:hAnsi="Arial" w:cs="Arial"/>
          <w:color w:val="000000"/>
          <w:sz w:val="26"/>
          <w:szCs w:val="26"/>
          <w:lang w:val="nl-NL"/>
        </w:rPr>
        <w:lastRenderedPageBreak/>
        <w:t>16 nêu trên thì thực hiện theo Biên bản kiểm tra kết quả nghiệm thu về phòng cháy và chữa cháy hoặc Biên bản kiểm tra an toàn về phòng cháy và chữa cháy.</w:t>
      </w:r>
    </w:p>
    <w:p w:rsidR="00352681" w:rsidRPr="00352681" w:rsidRDefault="00352681" w:rsidP="00352681">
      <w:pPr>
        <w:shd w:val="clear" w:color="auto" w:fill="FFFFFF"/>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lang w:val="nl-NL"/>
        </w:rPr>
        <w:t>2. Đối với cơ sở có nguy hiểm về cháy, nổ có tổng số tiền bảo hiểm của các tài sản tại một địa điểm từ 1.000 tỷ đồng trở lên (trừ cơ sở hạt nhân): Thực hiện theo quy định tại </w:t>
      </w:r>
      <w:bookmarkStart w:id="11" w:name="tc_36"/>
      <w:r w:rsidRPr="00352681">
        <w:rPr>
          <w:rFonts w:ascii="Arial" w:eastAsia="Times New Roman" w:hAnsi="Arial" w:cs="Arial"/>
          <w:color w:val="0000FF"/>
          <w:sz w:val="26"/>
          <w:szCs w:val="26"/>
          <w:lang w:val="nl-NL"/>
        </w:rPr>
        <w:t>khoản 2 Điều 26 Nghị định này</w:t>
      </w:r>
      <w:bookmarkEnd w:id="11"/>
      <w:r w:rsidRPr="00352681">
        <w:rPr>
          <w:rFonts w:ascii="Arial" w:eastAsia="Times New Roman" w:hAnsi="Arial" w:cs="Arial"/>
          <w:color w:val="000000"/>
          <w:sz w:val="26"/>
          <w:szCs w:val="26"/>
          <w:lang w:val="nl-NL"/>
        </w:rPr>
        <w:t>.</w:t>
      </w:r>
    </w:p>
    <w:p w:rsidR="00352681" w:rsidRPr="00352681" w:rsidRDefault="00352681" w:rsidP="00352681">
      <w:pPr>
        <w:shd w:val="clear" w:color="auto" w:fill="FFFFFF"/>
        <w:spacing w:after="0" w:line="335" w:lineRule="atLeast"/>
        <w:rPr>
          <w:rFonts w:ascii="Arial" w:eastAsia="Times New Roman" w:hAnsi="Arial" w:cs="Arial"/>
          <w:color w:val="000000"/>
          <w:sz w:val="26"/>
          <w:szCs w:val="26"/>
        </w:rPr>
      </w:pPr>
      <w:r w:rsidRPr="00352681">
        <w:rPr>
          <w:rFonts w:ascii="Arial" w:eastAsia="Times New Roman" w:hAnsi="Arial" w:cs="Arial"/>
          <w:color w:val="000000"/>
          <w:sz w:val="26"/>
          <w:szCs w:val="26"/>
          <w:lang w:val="nl-NL"/>
        </w:rPr>
        <w:t>3. Đối với cơ sở hạt nhân: Thực hiện theo quy định tại </w:t>
      </w:r>
      <w:bookmarkStart w:id="12" w:name="tc_37"/>
      <w:r w:rsidRPr="00352681">
        <w:rPr>
          <w:rFonts w:ascii="Arial" w:eastAsia="Times New Roman" w:hAnsi="Arial" w:cs="Arial"/>
          <w:color w:val="0000FF"/>
          <w:sz w:val="26"/>
          <w:szCs w:val="26"/>
          <w:lang w:val="nl-NL"/>
        </w:rPr>
        <w:t>khoản 3 Điều 26 Nghị định này</w:t>
      </w:r>
      <w:bookmarkEnd w:id="12"/>
      <w:r w:rsidRPr="00352681">
        <w:rPr>
          <w:rFonts w:ascii="Arial" w:eastAsia="Times New Roman" w:hAnsi="Arial" w:cs="Arial"/>
          <w:color w:val="000000"/>
          <w:sz w:val="26"/>
          <w:szCs w:val="26"/>
          <w:lang w:val="nl-NL"/>
        </w:rPr>
        <w:t>.</w:t>
      </w:r>
    </w:p>
    <w:p w:rsidR="00A507A7" w:rsidRDefault="00A507A7"/>
    <w:sectPr w:rsidR="00A507A7" w:rsidSect="00987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352681"/>
    <w:rsid w:val="00352681"/>
    <w:rsid w:val="009877F6"/>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681"/>
    <w:rPr>
      <w:color w:val="0000FF"/>
      <w:u w:val="single"/>
    </w:rPr>
  </w:style>
  <w:style w:type="character" w:styleId="FollowedHyperlink">
    <w:name w:val="FollowedHyperlink"/>
    <w:basedOn w:val="DefaultParagraphFont"/>
    <w:uiPriority w:val="99"/>
    <w:semiHidden/>
    <w:unhideWhenUsed/>
    <w:rsid w:val="00352681"/>
    <w:rPr>
      <w:color w:val="800080"/>
      <w:u w:val="single"/>
    </w:rPr>
  </w:style>
</w:styles>
</file>

<file path=word/webSettings.xml><?xml version="1.0" encoding="utf-8"?>
<w:webSettings xmlns:r="http://schemas.openxmlformats.org/officeDocument/2006/relationships" xmlns:w="http://schemas.openxmlformats.org/wordprocessingml/2006/main">
  <w:divs>
    <w:div w:id="16819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nghi-dinh-136-2020-nd-cp-huong-dan-luat-phong-chay-va-chua-chay-4582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2475</Words>
  <Characters>14110</Characters>
  <Application>Microsoft Office Word</Application>
  <DocSecurity>0</DocSecurity>
  <Lines>117</Lines>
  <Paragraphs>33</Paragraphs>
  <ScaleCrop>false</ScaleCrop>
  <Company>Grizli777</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2024-06-17T09:07:00Z</dcterms:created>
  <dcterms:modified xsi:type="dcterms:W3CDTF">2024-06-17T09:08:00Z</dcterms:modified>
</cp:coreProperties>
</file>