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5E4E1" w14:textId="77777777" w:rsidR="00F85420" w:rsidRPr="00F85420" w:rsidRDefault="00F85420" w:rsidP="00F85420">
      <w:pPr>
        <w:shd w:val="clear" w:color="auto" w:fill="FFFFFF"/>
        <w:spacing w:after="0" w:line="234" w:lineRule="atLeast"/>
        <w:jc w:val="center"/>
        <w:rPr>
          <w:rFonts w:ascii="Arial" w:eastAsia="Times New Roman" w:hAnsi="Arial" w:cs="Arial"/>
          <w:color w:val="000000"/>
          <w:sz w:val="18"/>
          <w:szCs w:val="18"/>
        </w:rPr>
      </w:pPr>
      <w:bookmarkStart w:id="0" w:name="chuong_pl_1"/>
      <w:r w:rsidRPr="00F85420">
        <w:rPr>
          <w:rFonts w:ascii="Arial" w:eastAsia="Times New Roman" w:hAnsi="Arial" w:cs="Arial"/>
          <w:b/>
          <w:bCs/>
          <w:color w:val="000000"/>
          <w:sz w:val="24"/>
          <w:szCs w:val="24"/>
        </w:rPr>
        <w:t>PHỤ LỤC I</w:t>
      </w:r>
      <w:bookmarkEnd w:id="0"/>
    </w:p>
    <w:p w14:paraId="3B0A565E" w14:textId="77777777" w:rsidR="00F85420" w:rsidRPr="00F85420" w:rsidRDefault="00F85420" w:rsidP="00F85420">
      <w:pPr>
        <w:shd w:val="clear" w:color="auto" w:fill="FFFFFF"/>
        <w:spacing w:after="0" w:line="234" w:lineRule="atLeast"/>
        <w:jc w:val="center"/>
        <w:rPr>
          <w:rFonts w:ascii="Arial" w:eastAsia="Times New Roman" w:hAnsi="Arial" w:cs="Arial"/>
          <w:color w:val="000000"/>
          <w:sz w:val="18"/>
          <w:szCs w:val="18"/>
        </w:rPr>
      </w:pPr>
      <w:bookmarkStart w:id="1" w:name="chuong_pl_1_name"/>
      <w:r w:rsidRPr="00F85420">
        <w:rPr>
          <w:rFonts w:ascii="Arial" w:eastAsia="Times New Roman" w:hAnsi="Arial" w:cs="Arial"/>
          <w:color w:val="000000"/>
          <w:sz w:val="18"/>
          <w:szCs w:val="18"/>
        </w:rPr>
        <w:t>PHÂN LOẠI DỰ ÁN ĐẦU TƯ CÔNG</w:t>
      </w:r>
      <w:bookmarkEnd w:id="1"/>
      <w:r w:rsidRPr="00F85420">
        <w:rPr>
          <w:rFonts w:ascii="Arial" w:eastAsia="Times New Roman" w:hAnsi="Arial" w:cs="Arial"/>
          <w:color w:val="000000"/>
          <w:sz w:val="18"/>
          <w:szCs w:val="18"/>
        </w:rPr>
        <w:br/>
      </w:r>
      <w:r w:rsidRPr="00F85420">
        <w:rPr>
          <w:rFonts w:ascii="Arial" w:eastAsia="Times New Roman" w:hAnsi="Arial" w:cs="Arial"/>
          <w:i/>
          <w:iCs/>
          <w:color w:val="000000"/>
          <w:sz w:val="18"/>
          <w:szCs w:val="18"/>
        </w:rPr>
        <w:t>(Kèm theo Nghị định số 85/2025/NĐ-CP ngày 08 tháng 04 năm 2025 của Chính phủ)</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6887"/>
        <w:gridCol w:w="1887"/>
      </w:tblGrid>
      <w:tr w:rsidR="00F85420" w:rsidRPr="00F85420" w14:paraId="1DA5009F" w14:textId="77777777" w:rsidTr="00F85420">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16A02AB2"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TT</w:t>
            </w:r>
          </w:p>
        </w:tc>
        <w:tc>
          <w:tcPr>
            <w:tcW w:w="3650" w:type="pct"/>
            <w:tcBorders>
              <w:top w:val="single" w:sz="8" w:space="0" w:color="auto"/>
              <w:left w:val="single" w:sz="8" w:space="0" w:color="auto"/>
              <w:bottom w:val="nil"/>
              <w:right w:val="nil"/>
            </w:tcBorders>
            <w:shd w:val="clear" w:color="auto" w:fill="auto"/>
            <w:vAlign w:val="center"/>
            <w:hideMark/>
          </w:tcPr>
          <w:p w14:paraId="19929A46"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PHÂN LOẠI DỰ ÁN ĐẦU TƯ CÔNG</w:t>
            </w:r>
          </w:p>
        </w:tc>
        <w:tc>
          <w:tcPr>
            <w:tcW w:w="1000" w:type="pct"/>
            <w:tcBorders>
              <w:top w:val="single" w:sz="8" w:space="0" w:color="auto"/>
              <w:left w:val="single" w:sz="8" w:space="0" w:color="auto"/>
              <w:bottom w:val="nil"/>
              <w:right w:val="single" w:sz="8" w:space="0" w:color="auto"/>
            </w:tcBorders>
            <w:shd w:val="clear" w:color="auto" w:fill="auto"/>
            <w:vAlign w:val="center"/>
            <w:hideMark/>
          </w:tcPr>
          <w:p w14:paraId="28353E55"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TỔNG MỨC ĐẦU TƯ</w:t>
            </w:r>
          </w:p>
        </w:tc>
      </w:tr>
      <w:tr w:rsidR="00F85420" w:rsidRPr="00F85420" w14:paraId="40134D9E" w14:textId="77777777" w:rsidTr="00F85420">
        <w:trPr>
          <w:tblCellSpacing w:w="0" w:type="dxa"/>
        </w:trPr>
        <w:tc>
          <w:tcPr>
            <w:tcW w:w="300" w:type="pct"/>
            <w:tcBorders>
              <w:top w:val="single" w:sz="8" w:space="0" w:color="auto"/>
              <w:left w:val="single" w:sz="8" w:space="0" w:color="auto"/>
              <w:bottom w:val="nil"/>
              <w:right w:val="nil"/>
            </w:tcBorders>
            <w:shd w:val="clear" w:color="auto" w:fill="auto"/>
            <w:hideMark/>
          </w:tcPr>
          <w:p w14:paraId="5E15A103"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A</w:t>
            </w:r>
          </w:p>
        </w:tc>
        <w:tc>
          <w:tcPr>
            <w:tcW w:w="3650" w:type="pct"/>
            <w:tcBorders>
              <w:top w:val="single" w:sz="8" w:space="0" w:color="auto"/>
              <w:left w:val="single" w:sz="8" w:space="0" w:color="auto"/>
              <w:bottom w:val="nil"/>
              <w:right w:val="nil"/>
            </w:tcBorders>
            <w:shd w:val="clear" w:color="auto" w:fill="auto"/>
            <w:hideMark/>
          </w:tcPr>
          <w:p w14:paraId="7ECED457"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NHÓM A</w:t>
            </w:r>
          </w:p>
        </w:tc>
        <w:tc>
          <w:tcPr>
            <w:tcW w:w="1000" w:type="pct"/>
            <w:tcBorders>
              <w:top w:val="single" w:sz="8" w:space="0" w:color="auto"/>
              <w:left w:val="single" w:sz="8" w:space="0" w:color="auto"/>
              <w:bottom w:val="nil"/>
              <w:right w:val="single" w:sz="8" w:space="0" w:color="auto"/>
            </w:tcBorders>
            <w:shd w:val="clear" w:color="auto" w:fill="auto"/>
            <w:hideMark/>
          </w:tcPr>
          <w:p w14:paraId="5FB50F28"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t> </w:t>
            </w:r>
          </w:p>
        </w:tc>
      </w:tr>
      <w:tr w:rsidR="00F85420" w:rsidRPr="00F85420" w14:paraId="0B618054" w14:textId="77777777" w:rsidTr="00F85420">
        <w:trPr>
          <w:tblCellSpacing w:w="0" w:type="dxa"/>
        </w:trPr>
        <w:tc>
          <w:tcPr>
            <w:tcW w:w="300" w:type="pct"/>
            <w:tcBorders>
              <w:top w:val="single" w:sz="8" w:space="0" w:color="auto"/>
              <w:left w:val="single" w:sz="8" w:space="0" w:color="auto"/>
              <w:bottom w:val="nil"/>
              <w:right w:val="nil"/>
            </w:tcBorders>
            <w:shd w:val="clear" w:color="auto" w:fill="auto"/>
            <w:hideMark/>
          </w:tcPr>
          <w:p w14:paraId="3F95894E"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I</w:t>
            </w:r>
          </w:p>
        </w:tc>
        <w:tc>
          <w:tcPr>
            <w:tcW w:w="3650" w:type="pct"/>
            <w:tcBorders>
              <w:top w:val="single" w:sz="8" w:space="0" w:color="auto"/>
              <w:left w:val="single" w:sz="8" w:space="0" w:color="auto"/>
              <w:bottom w:val="nil"/>
              <w:right w:val="nil"/>
            </w:tcBorders>
            <w:shd w:val="clear" w:color="auto" w:fill="auto"/>
            <w:hideMark/>
          </w:tcPr>
          <w:p w14:paraId="66C1462E"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b/>
                <w:bCs/>
                <w:color w:val="000000"/>
                <w:sz w:val="18"/>
                <w:szCs w:val="18"/>
              </w:rPr>
              <w:t>PHÂN LOẠI DỰ ÁN NHÓM A THEO QUY ĐỊNH TẠI </w:t>
            </w:r>
            <w:bookmarkStart w:id="2" w:name="dc_79"/>
            <w:r w:rsidRPr="00F85420">
              <w:rPr>
                <w:rFonts w:ascii="Arial" w:eastAsia="Times New Roman" w:hAnsi="Arial" w:cs="Arial"/>
                <w:b/>
                <w:bCs/>
                <w:color w:val="000000"/>
                <w:sz w:val="18"/>
                <w:szCs w:val="18"/>
              </w:rPr>
              <w:t>KHOẢN 1 ĐIỀU 9 CỦA LUẬT ĐẦU TƯ CÔNG</w:t>
            </w:r>
            <w:bookmarkEnd w:id="2"/>
          </w:p>
          <w:p w14:paraId="1FAE528A"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1. Dự án quy định tại </w:t>
            </w:r>
            <w:bookmarkStart w:id="3" w:name="dc_80"/>
            <w:r w:rsidRPr="00F85420">
              <w:rPr>
                <w:rFonts w:ascii="Arial" w:eastAsia="Times New Roman" w:hAnsi="Arial" w:cs="Arial"/>
                <w:color w:val="000000"/>
                <w:sz w:val="18"/>
                <w:szCs w:val="18"/>
              </w:rPr>
              <w:t>điểm a khoản 1 Điều 9 của Luật Đầu tư công</w:t>
            </w:r>
            <w:bookmarkEnd w:id="3"/>
            <w:r w:rsidRPr="00F85420">
              <w:rPr>
                <w:rFonts w:ascii="Arial" w:eastAsia="Times New Roman" w:hAnsi="Arial" w:cs="Arial"/>
                <w:color w:val="000000"/>
                <w:sz w:val="18"/>
                <w:szCs w:val="18"/>
              </w:rPr>
              <w:t> bao gồm:</w:t>
            </w:r>
          </w:p>
          <w:p w14:paraId="7DA14D5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Nhà máy sản xuất và kho chứa hóa chất nguy hiểm độc hại;</w:t>
            </w:r>
          </w:p>
          <w:p w14:paraId="3020572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Nhà máy sản xuất và kho chứa vật liệu nổ.</w:t>
            </w:r>
          </w:p>
          <w:p w14:paraId="63BC1928"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2. Dự án quy định tại </w:t>
            </w:r>
            <w:bookmarkStart w:id="4" w:name="dc_81"/>
            <w:r w:rsidRPr="00F85420">
              <w:rPr>
                <w:rFonts w:ascii="Arial" w:eastAsia="Times New Roman" w:hAnsi="Arial" w:cs="Arial"/>
                <w:color w:val="000000"/>
                <w:sz w:val="18"/>
                <w:szCs w:val="18"/>
              </w:rPr>
              <w:t>điểm b khoản 1 Điều 9 của Luật Đầu tư công</w:t>
            </w:r>
            <w:bookmarkEnd w:id="4"/>
            <w:r w:rsidRPr="00F85420">
              <w:rPr>
                <w:rFonts w:ascii="Arial" w:eastAsia="Times New Roman" w:hAnsi="Arial" w:cs="Arial"/>
                <w:color w:val="000000"/>
                <w:sz w:val="18"/>
                <w:szCs w:val="18"/>
              </w:rPr>
              <w:t> là dự án đầu tư tổng thể hạ tầng khu công nghiệp, khu chế xuất, khu công nghệ cao.</w:t>
            </w:r>
          </w:p>
          <w:p w14:paraId="421DF0E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Đối với dự án thành phần hoặc dự án đầu tư được cấp có thẩm quyền phê duyệt bằng một quyết định riêng trong khu công nghiệp, khu chế xuất, khu công nghệ cao, việc phân loại dự án theo tiêu chí quy định tại điểm 1 Mục này và các Mục II, III, IV, V Phần A và Phần B, C của Phụ lục này.</w:t>
            </w:r>
          </w:p>
        </w:tc>
        <w:tc>
          <w:tcPr>
            <w:tcW w:w="1000" w:type="pct"/>
            <w:tcBorders>
              <w:top w:val="single" w:sz="8" w:space="0" w:color="auto"/>
              <w:left w:val="single" w:sz="8" w:space="0" w:color="auto"/>
              <w:bottom w:val="nil"/>
              <w:right w:val="single" w:sz="8" w:space="0" w:color="auto"/>
            </w:tcBorders>
            <w:shd w:val="clear" w:color="auto" w:fill="auto"/>
            <w:hideMark/>
          </w:tcPr>
          <w:p w14:paraId="11AF411C"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t>Không phân biệt tổng mức đầu tư</w:t>
            </w:r>
          </w:p>
        </w:tc>
      </w:tr>
      <w:tr w:rsidR="00F85420" w:rsidRPr="00F85420" w14:paraId="53B46C1E" w14:textId="77777777" w:rsidTr="00F85420">
        <w:trPr>
          <w:tblCellSpacing w:w="0" w:type="dxa"/>
        </w:trPr>
        <w:tc>
          <w:tcPr>
            <w:tcW w:w="300" w:type="pct"/>
            <w:tcBorders>
              <w:top w:val="single" w:sz="8" w:space="0" w:color="auto"/>
              <w:left w:val="single" w:sz="8" w:space="0" w:color="auto"/>
              <w:bottom w:val="single" w:sz="8" w:space="0" w:color="auto"/>
              <w:right w:val="nil"/>
            </w:tcBorders>
            <w:shd w:val="clear" w:color="auto" w:fill="auto"/>
            <w:hideMark/>
          </w:tcPr>
          <w:p w14:paraId="3684CFFD"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II</w:t>
            </w:r>
          </w:p>
        </w:tc>
        <w:tc>
          <w:tcPr>
            <w:tcW w:w="3650" w:type="pct"/>
            <w:tcBorders>
              <w:top w:val="single" w:sz="8" w:space="0" w:color="auto"/>
              <w:left w:val="single" w:sz="8" w:space="0" w:color="auto"/>
              <w:bottom w:val="single" w:sz="8" w:space="0" w:color="auto"/>
              <w:right w:val="nil"/>
            </w:tcBorders>
            <w:shd w:val="clear" w:color="auto" w:fill="auto"/>
            <w:hideMark/>
          </w:tcPr>
          <w:p w14:paraId="202BDC9A"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b/>
                <w:bCs/>
                <w:color w:val="000000"/>
                <w:sz w:val="18"/>
                <w:szCs w:val="18"/>
              </w:rPr>
              <w:t>PHÂN LOẠI DỰ ÁN NHÓM A THEO QUY ĐỊNH TẠI </w:t>
            </w:r>
            <w:bookmarkStart w:id="5" w:name="dc_82"/>
            <w:r w:rsidRPr="00F85420">
              <w:rPr>
                <w:rFonts w:ascii="Arial" w:eastAsia="Times New Roman" w:hAnsi="Arial" w:cs="Arial"/>
                <w:b/>
                <w:bCs/>
                <w:color w:val="000000"/>
                <w:sz w:val="18"/>
                <w:szCs w:val="18"/>
              </w:rPr>
              <w:t>KHOẢN 2 ĐIỀU 9 CỦA LUẬT ĐẦU TƯ CÔNG</w:t>
            </w:r>
            <w:bookmarkEnd w:id="5"/>
          </w:p>
          <w:p w14:paraId="4DBAC28E"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1. Dự án quy định tại </w:t>
            </w:r>
            <w:bookmarkStart w:id="6" w:name="dc_83"/>
            <w:r w:rsidRPr="00F85420">
              <w:rPr>
                <w:rFonts w:ascii="Arial" w:eastAsia="Times New Roman" w:hAnsi="Arial" w:cs="Arial"/>
                <w:color w:val="000000"/>
                <w:sz w:val="18"/>
                <w:szCs w:val="18"/>
              </w:rPr>
              <w:t>điểm a khoản 2 Điều 9 của Luật Đầu tư công</w:t>
            </w:r>
            <w:bookmarkEnd w:id="6"/>
            <w:r w:rsidRPr="00F85420">
              <w:rPr>
                <w:rFonts w:ascii="Arial" w:eastAsia="Times New Roman" w:hAnsi="Arial" w:cs="Arial"/>
                <w:color w:val="000000"/>
                <w:sz w:val="18"/>
                <w:szCs w:val="18"/>
              </w:rPr>
              <w:t>, bao gồm:</w:t>
            </w:r>
          </w:p>
          <w:p w14:paraId="10C6ADC9"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Cầu đường bộ, cầu đường sắt, cầu bộ hành, cầu phao;</w:t>
            </w:r>
          </w:p>
          <w:p w14:paraId="3105B69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Cảng biển quốc tế, cảng sông; cảng, bến thủy nội địa, gồm: cảng, bến hàng hóa; cảng, bến hành khách; bến cảng biển nội địa; nhà ga đường thủy; luồng đường thủy nội địa;</w:t>
            </w:r>
          </w:p>
          <w:p w14:paraId="433A65AB"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Sân bay quốc tế; sân bay nội địa; nhà ga hàng không;</w:t>
            </w:r>
          </w:p>
          <w:p w14:paraId="325B2E68"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Đường sắt cao tốc, đường sắt tốc độ cao và đường sắt quốc gia; đường sắt đô thị, đường sắt trên cao, đường tàu điện ngầm (Metro); đường sắt chuyên dụng, đường sắt địa phương, nhà ga đường sắt cao tốc và tốc độ cao;</w:t>
            </w:r>
          </w:p>
          <w:p w14:paraId="6F102B1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 Hầm đường ô tô; hầm đường sắt, hầm cho người đi bộ; hầm tàu điện ngầm;</w:t>
            </w:r>
          </w:p>
          <w:p w14:paraId="5A51ECFE"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e) Đường ô tô cao tốc và đường quốc lộ.</w:t>
            </w:r>
          </w:p>
          <w:p w14:paraId="13FDABCF"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2. Dự án quy định tại </w:t>
            </w:r>
            <w:bookmarkStart w:id="7" w:name="dc_84"/>
            <w:r w:rsidRPr="00F85420">
              <w:rPr>
                <w:rFonts w:ascii="Arial" w:eastAsia="Times New Roman" w:hAnsi="Arial" w:cs="Arial"/>
                <w:color w:val="000000"/>
                <w:sz w:val="18"/>
                <w:szCs w:val="18"/>
              </w:rPr>
              <w:t>điểm b khoản 2 Điều 9 của Luật Đầu tư công</w:t>
            </w:r>
            <w:bookmarkEnd w:id="7"/>
            <w:r w:rsidRPr="00F85420">
              <w:rPr>
                <w:rFonts w:ascii="Arial" w:eastAsia="Times New Roman" w:hAnsi="Arial" w:cs="Arial"/>
                <w:color w:val="000000"/>
                <w:sz w:val="18"/>
                <w:szCs w:val="18"/>
              </w:rPr>
              <w:t>, bao gồm:</w:t>
            </w:r>
          </w:p>
          <w:p w14:paraId="05B4EE6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Nhà máy (trung tâm) nhiệt điện;</w:t>
            </w:r>
          </w:p>
          <w:p w14:paraId="0929D25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Nhà máy thủy điện, hồ chứa nước của nhà máy thủy điện, đập các loại của công trình thủy điện; nhà máy thủy điện tích năng;</w:t>
            </w:r>
          </w:p>
          <w:p w14:paraId="2476F19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Nhà máy điện gió (trang trại điện gió);</w:t>
            </w:r>
          </w:p>
          <w:p w14:paraId="021E876C"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Nhà máy điện mặt trời (trang trại điện mặt trời);</w:t>
            </w:r>
          </w:p>
          <w:p w14:paraId="683DE6BD"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 Nhà máy điện địa nhiệt;</w:t>
            </w:r>
          </w:p>
          <w:p w14:paraId="29C9DCD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e) Nhà máy điện sử dụng năng lượng biển, như: thủy triều, sóng biển, dòng hải lưu,...;</w:t>
            </w:r>
          </w:p>
          <w:p w14:paraId="40292DF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g) Nhà máy điện từ rác;</w:t>
            </w:r>
          </w:p>
          <w:p w14:paraId="06D46599"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h) Nhà máy điện sinh khối;</w:t>
            </w:r>
          </w:p>
          <w:p w14:paraId="1D4A5967"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i) Nhà máy điện khí biogas;</w:t>
            </w:r>
          </w:p>
          <w:p w14:paraId="48548E7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lastRenderedPageBreak/>
              <w:t>k) Nhà máy phát điện khác;</w:t>
            </w:r>
          </w:p>
          <w:p w14:paraId="6EE996EF"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l) Đường dây và trạm biến áp.</w:t>
            </w:r>
          </w:p>
          <w:p w14:paraId="125041C4"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3. Dự án quy định tại </w:t>
            </w:r>
            <w:bookmarkStart w:id="8" w:name="dc_85"/>
            <w:r w:rsidRPr="00F85420">
              <w:rPr>
                <w:rFonts w:ascii="Arial" w:eastAsia="Times New Roman" w:hAnsi="Arial" w:cs="Arial"/>
                <w:color w:val="000000"/>
                <w:sz w:val="18"/>
                <w:szCs w:val="18"/>
              </w:rPr>
              <w:t>điểm c khoản 2 Điều 9 của Luật Đầu tư công</w:t>
            </w:r>
            <w:bookmarkEnd w:id="8"/>
            <w:r w:rsidRPr="00F85420">
              <w:rPr>
                <w:rFonts w:ascii="Arial" w:eastAsia="Times New Roman" w:hAnsi="Arial" w:cs="Arial"/>
                <w:color w:val="000000"/>
                <w:sz w:val="18"/>
                <w:szCs w:val="18"/>
              </w:rPr>
              <w:t> bao gồm:</w:t>
            </w:r>
          </w:p>
          <w:p w14:paraId="2BF7C84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Giàn khoan thăm dò, khai thác dầu khí trên biển;</w:t>
            </w:r>
          </w:p>
          <w:p w14:paraId="5BCA4D7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Tuyến ống dẫn khí, dầu và các thiết bị phụ trợ để hút dầu.</w:t>
            </w:r>
          </w:p>
          <w:p w14:paraId="7B0A9EA0"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4. Dự án quy định tại </w:t>
            </w:r>
            <w:bookmarkStart w:id="9" w:name="dc_86"/>
            <w:r w:rsidRPr="00F85420">
              <w:rPr>
                <w:rFonts w:ascii="Arial" w:eastAsia="Times New Roman" w:hAnsi="Arial" w:cs="Arial"/>
                <w:color w:val="000000"/>
                <w:sz w:val="18"/>
                <w:szCs w:val="18"/>
              </w:rPr>
              <w:t>điểm d khoản 2 Điều 9 của Luật Đầu tư công</w:t>
            </w:r>
            <w:bookmarkEnd w:id="9"/>
            <w:r w:rsidRPr="00F85420">
              <w:rPr>
                <w:rFonts w:ascii="Arial" w:eastAsia="Times New Roman" w:hAnsi="Arial" w:cs="Arial"/>
                <w:color w:val="000000"/>
                <w:sz w:val="18"/>
                <w:szCs w:val="18"/>
              </w:rPr>
              <w:t> bao gồm:</w:t>
            </w:r>
          </w:p>
          <w:p w14:paraId="61745C81"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Nhà máy sản xuất hóa chất cơ bản, gồm: nhà máy sản xuất Amoniac, axit, xút, clo các loại; nhà máy sản xuất sô đa; nhà máy sản xuất các loại hóa chất vô cơ tinh và tinh khiết; nhà máy sản xuất que hàn; nhà máy sản xuất hóa chất khác, trừ các dự án quy định tại điểm 6 Mục III Phần A Phụ lục này;</w:t>
            </w:r>
          </w:p>
          <w:p w14:paraId="480DAEC8"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Nhà máy sản xuất hóa dầu;</w:t>
            </w:r>
          </w:p>
          <w:p w14:paraId="4FF71A67"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Nhà máy sản xuất phân bón;</w:t>
            </w:r>
          </w:p>
          <w:p w14:paraId="55BCC2E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Nhà máy sản xuất xi măng.</w:t>
            </w:r>
          </w:p>
          <w:p w14:paraId="458DD775"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5. Dự án quy định tại </w:t>
            </w:r>
            <w:bookmarkStart w:id="10" w:name="dc_87"/>
            <w:r w:rsidRPr="00F85420">
              <w:rPr>
                <w:rFonts w:ascii="Arial" w:eastAsia="Times New Roman" w:hAnsi="Arial" w:cs="Arial"/>
                <w:color w:val="000000"/>
                <w:sz w:val="18"/>
                <w:szCs w:val="18"/>
              </w:rPr>
              <w:t>điểm đ khoản 2 Điều 9 của Luật Đầu tư công</w:t>
            </w:r>
            <w:bookmarkEnd w:id="10"/>
            <w:r w:rsidRPr="00F85420">
              <w:rPr>
                <w:rFonts w:ascii="Arial" w:eastAsia="Times New Roman" w:hAnsi="Arial" w:cs="Arial"/>
                <w:color w:val="000000"/>
                <w:sz w:val="18"/>
                <w:szCs w:val="18"/>
              </w:rPr>
              <w:t> bao gồm:</w:t>
            </w:r>
          </w:p>
          <w:p w14:paraId="6D8F7E8A"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Nhà máy luyện kim mầu;</w:t>
            </w:r>
          </w:p>
          <w:p w14:paraId="34F6689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Nhà máy luyện, cán thép;</w:t>
            </w:r>
          </w:p>
          <w:p w14:paraId="6C168D5E"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Nhà máy cơ khí chế tạo máy động lực và máy công cụ các loại;</w:t>
            </w:r>
          </w:p>
          <w:p w14:paraId="383A314E"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Nhà máy chế tạo thiết bị công nghiệp và thiết bị toàn bộ;</w:t>
            </w:r>
          </w:p>
          <w:p w14:paraId="2B825561"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 Nhà máy chế tạo ô tô.</w:t>
            </w:r>
          </w:p>
          <w:p w14:paraId="42122E20"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6. Dự án quy định tại </w:t>
            </w:r>
            <w:bookmarkStart w:id="11" w:name="dc_88"/>
            <w:r w:rsidRPr="00F85420">
              <w:rPr>
                <w:rFonts w:ascii="Arial" w:eastAsia="Times New Roman" w:hAnsi="Arial" w:cs="Arial"/>
                <w:color w:val="000000"/>
                <w:sz w:val="18"/>
                <w:szCs w:val="18"/>
              </w:rPr>
              <w:t>điểm e khoản 2 Điều 9 của Luật Đầu tư công</w:t>
            </w:r>
            <w:bookmarkEnd w:id="11"/>
            <w:r w:rsidRPr="00F85420">
              <w:rPr>
                <w:rFonts w:ascii="Arial" w:eastAsia="Times New Roman" w:hAnsi="Arial" w:cs="Arial"/>
                <w:color w:val="000000"/>
                <w:sz w:val="18"/>
                <w:szCs w:val="18"/>
              </w:rPr>
              <w:t> bao gồm:</w:t>
            </w:r>
          </w:p>
          <w:p w14:paraId="4E804AD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Nhà máy sản xuất sản phẩm nguyên liệu mỏ hóa chất (tuyển quặng Apatit);</w:t>
            </w:r>
          </w:p>
          <w:p w14:paraId="2AC3929D"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Nhà máy chọn rửa, tuyển than;</w:t>
            </w:r>
          </w:p>
          <w:p w14:paraId="2BDC6495"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Nhà máy tuyển quặng, làm giàu quặng;</w:t>
            </w:r>
          </w:p>
          <w:p w14:paraId="410B6FE9"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Nhà máy sản xuất alumin;</w:t>
            </w:r>
          </w:p>
          <w:p w14:paraId="6ED117EE"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 Mỏ khai thác vật liệu xây dựng;</w:t>
            </w:r>
          </w:p>
          <w:p w14:paraId="669000F1"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e) Dự án khai thác than, quặng;</w:t>
            </w:r>
          </w:p>
          <w:p w14:paraId="3D81049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g) Nhà máy và dự án đầu tư khai thác, chế biến khoáng sản khác.</w:t>
            </w:r>
          </w:p>
          <w:p w14:paraId="1999723E"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7. Dự án quy định tại </w:t>
            </w:r>
            <w:bookmarkStart w:id="12" w:name="dc_89"/>
            <w:r w:rsidRPr="00F85420">
              <w:rPr>
                <w:rFonts w:ascii="Arial" w:eastAsia="Times New Roman" w:hAnsi="Arial" w:cs="Arial"/>
                <w:color w:val="000000"/>
                <w:sz w:val="18"/>
                <w:szCs w:val="18"/>
              </w:rPr>
              <w:t>điểm g khoản 2 Điều 9 của Luật Đầu tư công</w:t>
            </w:r>
            <w:bookmarkEnd w:id="12"/>
            <w:r w:rsidRPr="00F85420">
              <w:rPr>
                <w:rFonts w:ascii="Arial" w:eastAsia="Times New Roman" w:hAnsi="Arial" w:cs="Arial"/>
                <w:color w:val="000000"/>
                <w:sz w:val="18"/>
                <w:szCs w:val="18"/>
              </w:rPr>
              <w:t> bao gồm:</w:t>
            </w:r>
          </w:p>
          <w:p w14:paraId="2EC06B2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Khu đô thị;</w:t>
            </w:r>
          </w:p>
          <w:p w14:paraId="26DB543E"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Khu nhà ở chung cư.</w:t>
            </w:r>
          </w:p>
        </w:tc>
        <w:tc>
          <w:tcPr>
            <w:tcW w:w="1000" w:type="pct"/>
            <w:tcBorders>
              <w:top w:val="single" w:sz="8" w:space="0" w:color="auto"/>
              <w:left w:val="single" w:sz="8" w:space="0" w:color="auto"/>
              <w:bottom w:val="single" w:sz="8" w:space="0" w:color="auto"/>
              <w:right w:val="single" w:sz="8" w:space="0" w:color="auto"/>
            </w:tcBorders>
            <w:shd w:val="clear" w:color="auto" w:fill="auto"/>
            <w:hideMark/>
          </w:tcPr>
          <w:p w14:paraId="473B9448"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lastRenderedPageBreak/>
              <w:t>Từ 4.600 tỷ đồng trở lên</w:t>
            </w:r>
          </w:p>
        </w:tc>
      </w:tr>
      <w:tr w:rsidR="00F85420" w:rsidRPr="00F85420" w14:paraId="04E354A1" w14:textId="77777777" w:rsidTr="00F85420">
        <w:trPr>
          <w:tblCellSpacing w:w="0" w:type="dxa"/>
        </w:trPr>
        <w:tc>
          <w:tcPr>
            <w:tcW w:w="300" w:type="pct"/>
            <w:tcBorders>
              <w:top w:val="nil"/>
              <w:left w:val="single" w:sz="8" w:space="0" w:color="auto"/>
              <w:bottom w:val="single" w:sz="8" w:space="0" w:color="auto"/>
              <w:right w:val="nil"/>
            </w:tcBorders>
            <w:shd w:val="clear" w:color="auto" w:fill="auto"/>
            <w:hideMark/>
          </w:tcPr>
          <w:p w14:paraId="4BA48C32"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III</w:t>
            </w:r>
          </w:p>
        </w:tc>
        <w:tc>
          <w:tcPr>
            <w:tcW w:w="3650" w:type="pct"/>
            <w:tcBorders>
              <w:top w:val="nil"/>
              <w:left w:val="single" w:sz="8" w:space="0" w:color="auto"/>
              <w:bottom w:val="single" w:sz="8" w:space="0" w:color="auto"/>
              <w:right w:val="nil"/>
            </w:tcBorders>
            <w:shd w:val="clear" w:color="auto" w:fill="auto"/>
            <w:hideMark/>
          </w:tcPr>
          <w:p w14:paraId="02A33714"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b/>
                <w:bCs/>
                <w:color w:val="000000"/>
                <w:sz w:val="18"/>
                <w:szCs w:val="18"/>
              </w:rPr>
              <w:t>PHÂN LOẠI DỰ ÁN NHÓM A THEO QUY ĐỊNH TẠI </w:t>
            </w:r>
            <w:bookmarkStart w:id="13" w:name="dc_90"/>
            <w:r w:rsidRPr="00F85420">
              <w:rPr>
                <w:rFonts w:ascii="Arial" w:eastAsia="Times New Roman" w:hAnsi="Arial" w:cs="Arial"/>
                <w:b/>
                <w:bCs/>
                <w:color w:val="000000"/>
                <w:sz w:val="18"/>
                <w:szCs w:val="18"/>
              </w:rPr>
              <w:t>KHOẢN 3 ĐIỀU 9 CỦA LUẬT ĐẦU TƯ CÔNG</w:t>
            </w:r>
            <w:bookmarkEnd w:id="13"/>
          </w:p>
          <w:p w14:paraId="4A84B6BC"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1. Dự án quy định tại </w:t>
            </w:r>
            <w:bookmarkStart w:id="14" w:name="dc_91"/>
            <w:r w:rsidRPr="00F85420">
              <w:rPr>
                <w:rFonts w:ascii="Arial" w:eastAsia="Times New Roman" w:hAnsi="Arial" w:cs="Arial"/>
                <w:color w:val="000000"/>
                <w:sz w:val="18"/>
                <w:szCs w:val="18"/>
              </w:rPr>
              <w:t>điểm a khoản 3 Điều 9 của Luật Đầu tư công</w:t>
            </w:r>
            <w:bookmarkEnd w:id="14"/>
            <w:r w:rsidRPr="00F85420">
              <w:rPr>
                <w:rFonts w:ascii="Arial" w:eastAsia="Times New Roman" w:hAnsi="Arial" w:cs="Arial"/>
                <w:color w:val="000000"/>
                <w:sz w:val="18"/>
                <w:szCs w:val="18"/>
              </w:rPr>
              <w:t>, bao gồm:</w:t>
            </w:r>
          </w:p>
          <w:p w14:paraId="6063142D"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Đường ô tô, đường trong đô thị (đường cao tốc đô thị, đường phố, đường gom), đường nông thôn, bến phà;</w:t>
            </w:r>
          </w:p>
          <w:p w14:paraId="5409F6EF"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Đường thủy trên sông, hồ, vịnh và đường ra đảo; kênh đào;</w:t>
            </w:r>
          </w:p>
          <w:p w14:paraId="1D5320F1"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Luồng tàu ở cửa biển, cửa vịnh hở, trên biển;</w:t>
            </w:r>
          </w:p>
          <w:p w14:paraId="19238988"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lastRenderedPageBreak/>
              <w:t>d) Bến phà cảng ngoài đảo, bến cảng chuyên dụng, công trình trên biển (bến phao, đê thủy khí, bến cảng nổi đa năng,...);</w:t>
            </w:r>
          </w:p>
          <w:p w14:paraId="035FE0EE"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 Hệ thống phao báo hiệu hàng hải trên sông, trên biển;</w:t>
            </w:r>
          </w:p>
          <w:p w14:paraId="1044B89F"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e) Đèn biển, đăng tiêu;</w:t>
            </w:r>
          </w:p>
          <w:p w14:paraId="376B5B0B"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g) Các dự án giao thông khác, trừ các dự án quy định tại điểm 1 Mục II Phần A của Phụ lục này.</w:t>
            </w:r>
          </w:p>
          <w:p w14:paraId="2C908013"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2. Dự án quy định tại </w:t>
            </w:r>
            <w:bookmarkStart w:id="15" w:name="dc_92"/>
            <w:r w:rsidRPr="00F85420">
              <w:rPr>
                <w:rFonts w:ascii="Arial" w:eastAsia="Times New Roman" w:hAnsi="Arial" w:cs="Arial"/>
                <w:color w:val="000000"/>
                <w:sz w:val="18"/>
                <w:szCs w:val="18"/>
              </w:rPr>
              <w:t>điểm b khoản 3 Điều 9 của Luật Đầu tư công</w:t>
            </w:r>
            <w:bookmarkEnd w:id="15"/>
            <w:r w:rsidRPr="00F85420">
              <w:rPr>
                <w:rFonts w:ascii="Arial" w:eastAsia="Times New Roman" w:hAnsi="Arial" w:cs="Arial"/>
                <w:color w:val="000000"/>
                <w:sz w:val="18"/>
                <w:szCs w:val="18"/>
              </w:rPr>
              <w:t>, bao gồm:</w:t>
            </w:r>
          </w:p>
          <w:p w14:paraId="3E8E32E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Dự án đê sông, đê biển, đê cửa sông, đê bối, đê bao và đê chuyên dùng;</w:t>
            </w:r>
          </w:p>
          <w:p w14:paraId="7043346F"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Công trình chỉnh trị, bao gồm đê chắn sóng, đê chắn cát, kè hướng dòng, kè, bờ bao bảo vệ bờ,... ở cửa biển, ven biển và trong sông;</w:t>
            </w:r>
          </w:p>
          <w:p w14:paraId="5D3F7DD5"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Hồ chứa nước; hồ điều hòa;</w:t>
            </w:r>
          </w:p>
          <w:p w14:paraId="67CB49CA"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Nạo vét sông, hồ làm thông thoáng dòng chảy; các hệ thống dẫn, chuyển nước và điều tiết nước;</w:t>
            </w:r>
          </w:p>
          <w:p w14:paraId="7CDABC6C"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 Trạm bơm; giếng; công trình lọc và xử lý nước;</w:t>
            </w:r>
          </w:p>
          <w:p w14:paraId="6E7B669B"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e) Các dự án thủy lợi chịu áp khác;</w:t>
            </w:r>
          </w:p>
          <w:p w14:paraId="0F1C2D6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g) Dự án cấp nguồn nước chưa xử lý cho các ngành sử dụng nước khác;</w:t>
            </w:r>
          </w:p>
          <w:p w14:paraId="47060A27"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h) Công trình cống, đập;</w:t>
            </w:r>
          </w:p>
          <w:p w14:paraId="4DC0562E"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i) Các công trình phụ trợ phục vụ quản lý, vận hành khai thác công trình thủy lợi;</w:t>
            </w:r>
          </w:p>
          <w:p w14:paraId="66B6FEA5"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k) Trạm quan trắc khí tượng thủy văn, hải văn, địa chấn, cảnh báo thiên tai; công trình đê điều, hồ đập, chống úng, chống hạn, chống sạt lở; khu neo đậu tránh trú bão cho tàu thuyền, nhà kết hợp sơ tán dân và công trình khác phục vụ phòng chống thiên tai.</w:t>
            </w:r>
          </w:p>
          <w:p w14:paraId="1553FB47"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3. Dự án quy định tại </w:t>
            </w:r>
            <w:bookmarkStart w:id="16" w:name="dc_93"/>
            <w:r w:rsidRPr="00F85420">
              <w:rPr>
                <w:rFonts w:ascii="Arial" w:eastAsia="Times New Roman" w:hAnsi="Arial" w:cs="Arial"/>
                <w:color w:val="000000"/>
                <w:sz w:val="18"/>
                <w:szCs w:val="18"/>
              </w:rPr>
              <w:t>điểm c khoản 3 Điều 9 của Luật Đầu tư công</w:t>
            </w:r>
            <w:bookmarkEnd w:id="16"/>
            <w:r w:rsidRPr="00F85420">
              <w:rPr>
                <w:rFonts w:ascii="Arial" w:eastAsia="Times New Roman" w:hAnsi="Arial" w:cs="Arial"/>
                <w:color w:val="000000"/>
                <w:sz w:val="18"/>
                <w:szCs w:val="18"/>
              </w:rPr>
              <w:t>, bao gồm:</w:t>
            </w:r>
          </w:p>
          <w:p w14:paraId="51DB8585"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Nhà máy nước; dự án xử lý nước sạch, bể chứa nước sạch, trừ dự án quy định tại điểm đ khoản 2 Mục này;</w:t>
            </w:r>
          </w:p>
          <w:p w14:paraId="6D9E1807"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Trạm bơm (nước thô hoặc nước sạch), trạm bơm nước mưa, trừ dự án quy định tại điểm đ khoản 2 Mục này;</w:t>
            </w:r>
          </w:p>
          <w:p w14:paraId="650CC72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Tuyến ống cấp nước (nước thô hoặc nước sạch); tuyến cống thoát nước mưa, cống chung;</w:t>
            </w:r>
          </w:p>
          <w:p w14:paraId="3640A0FF"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Dự án xử lý nước thải, trừ dự án xử lý nước thải tập trung nằm trong dự án tổng thể hạ tầng khu kinh tế, khu công nghiệp, cụm công nghiệp;</w:t>
            </w:r>
          </w:p>
          <w:p w14:paraId="686D2635"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 Tuyến cống thoát nước thải; trạm bơm nước thải;</w:t>
            </w:r>
          </w:p>
          <w:p w14:paraId="3E5FBBB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e) Dự án xử lý bùn;</w:t>
            </w:r>
          </w:p>
          <w:p w14:paraId="79B103A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g) Dự án xử lý rác thải, gồm: trạm trung chuyển, bãi chôn lấp rác, nhà máy đốt, xử lý chế biến rác; khu xử lý chất thải rắn;</w:t>
            </w:r>
          </w:p>
          <w:p w14:paraId="16E59235"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h) Dự án chiếu sáng công cộng;</w:t>
            </w:r>
          </w:p>
          <w:p w14:paraId="0026B6D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i) Dự án công viên cây xanh;</w:t>
            </w:r>
          </w:p>
          <w:p w14:paraId="68407FA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k) Nghĩa trang;</w:t>
            </w:r>
          </w:p>
          <w:p w14:paraId="0D6D78E5"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l) Bãi đỗ xe ô tô, xe máy, gồm: bãi đỗ xe ngầm, bãi đỗ xe nổi;</w:t>
            </w:r>
          </w:p>
          <w:p w14:paraId="3BC3A18A"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m) Cống cáp; hào kỹ thuật, tuy nen kỹ thuật;</w:t>
            </w:r>
          </w:p>
          <w:p w14:paraId="5B18F56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lastRenderedPageBreak/>
              <w:t>n) Dự án mua sắm phương tiện, trang thiết bị chuyên dùng cho các cơ quan quản lý hành chính nhà nước, cơ quan quốc phòng, an ninh không có tính chất bảo mật quốc gia.</w:t>
            </w:r>
          </w:p>
          <w:p w14:paraId="678AB107"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4. Dự án quy định tại </w:t>
            </w:r>
            <w:bookmarkStart w:id="17" w:name="dc_94"/>
            <w:r w:rsidRPr="00F85420">
              <w:rPr>
                <w:rFonts w:ascii="Arial" w:eastAsia="Times New Roman" w:hAnsi="Arial" w:cs="Arial"/>
                <w:color w:val="000000"/>
                <w:sz w:val="18"/>
                <w:szCs w:val="18"/>
              </w:rPr>
              <w:t>điểm d khoản 3 Điều 9 của Luật Đầu tư công</w:t>
            </w:r>
            <w:bookmarkEnd w:id="17"/>
            <w:r w:rsidRPr="00F85420">
              <w:rPr>
                <w:rFonts w:ascii="Arial" w:eastAsia="Times New Roman" w:hAnsi="Arial" w:cs="Arial"/>
                <w:color w:val="000000"/>
                <w:sz w:val="18"/>
                <w:szCs w:val="18"/>
              </w:rPr>
              <w:t> là dự án chế tạo máy móc kỹ thuật điện: máy phát điện, động cơ điện, máy biến thế, máy chỉnh lưu.</w:t>
            </w:r>
          </w:p>
          <w:p w14:paraId="4EB6401F"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5. Dự án quy định tại </w:t>
            </w:r>
            <w:bookmarkStart w:id="18" w:name="dc_95"/>
            <w:r w:rsidRPr="00F85420">
              <w:rPr>
                <w:rFonts w:ascii="Arial" w:eastAsia="Times New Roman" w:hAnsi="Arial" w:cs="Arial"/>
                <w:color w:val="000000"/>
                <w:sz w:val="18"/>
                <w:szCs w:val="18"/>
              </w:rPr>
              <w:t>điểm đ khoản 3 Điều 9 của Luật Đầu tư công</w:t>
            </w:r>
            <w:bookmarkEnd w:id="18"/>
            <w:r w:rsidRPr="00F85420">
              <w:rPr>
                <w:rFonts w:ascii="Arial" w:eastAsia="Times New Roman" w:hAnsi="Arial" w:cs="Arial"/>
                <w:color w:val="000000"/>
                <w:sz w:val="18"/>
                <w:szCs w:val="18"/>
              </w:rPr>
              <w:t>, bao gồm:</w:t>
            </w:r>
          </w:p>
          <w:p w14:paraId="40C6B24A"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Nhà máy lắp ráp điện tử, điện lạnh;</w:t>
            </w:r>
          </w:p>
          <w:p w14:paraId="21B2903C"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Nhà máy chế tạo linh kiện, phụ tùng thông tin và điện tử.</w:t>
            </w:r>
          </w:p>
          <w:p w14:paraId="5A540EFC"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6. Dự án quy định tại </w:t>
            </w:r>
            <w:bookmarkStart w:id="19" w:name="dc_96"/>
            <w:r w:rsidRPr="00F85420">
              <w:rPr>
                <w:rFonts w:ascii="Arial" w:eastAsia="Times New Roman" w:hAnsi="Arial" w:cs="Arial"/>
                <w:color w:val="000000"/>
                <w:sz w:val="18"/>
                <w:szCs w:val="18"/>
              </w:rPr>
              <w:t>điểm e khoản 3 Điều 9 của Luật Đầu tư công</w:t>
            </w:r>
            <w:bookmarkEnd w:id="19"/>
            <w:r w:rsidRPr="00F85420">
              <w:rPr>
                <w:rFonts w:ascii="Arial" w:eastAsia="Times New Roman" w:hAnsi="Arial" w:cs="Arial"/>
                <w:color w:val="000000"/>
                <w:sz w:val="18"/>
                <w:szCs w:val="18"/>
              </w:rPr>
              <w:t>, bao gồm:</w:t>
            </w:r>
          </w:p>
          <w:p w14:paraId="65CFB46F"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Nhà máy sản xuất sản phẩm tẩy rửa;</w:t>
            </w:r>
          </w:p>
          <w:p w14:paraId="6C49ECD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Nhà máy sản xuất hóa mỹ phẩm;</w:t>
            </w:r>
          </w:p>
          <w:p w14:paraId="6B0F471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Nhà máy sản xuất hóa dược (vi sinh), thuốc.</w:t>
            </w:r>
          </w:p>
          <w:p w14:paraId="44267773"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7. Dự án quy định tại </w:t>
            </w:r>
            <w:bookmarkStart w:id="20" w:name="dc_97"/>
            <w:r w:rsidRPr="00F85420">
              <w:rPr>
                <w:rFonts w:ascii="Arial" w:eastAsia="Times New Roman" w:hAnsi="Arial" w:cs="Arial"/>
                <w:color w:val="000000"/>
                <w:sz w:val="18"/>
                <w:szCs w:val="18"/>
              </w:rPr>
              <w:t>điểm g khoản 3 Điều 9 của Luật Đầu tư công</w:t>
            </w:r>
            <w:bookmarkEnd w:id="20"/>
            <w:r w:rsidRPr="00F85420">
              <w:rPr>
                <w:rFonts w:ascii="Arial" w:eastAsia="Times New Roman" w:hAnsi="Arial" w:cs="Arial"/>
                <w:color w:val="000000"/>
                <w:sz w:val="18"/>
                <w:szCs w:val="18"/>
              </w:rPr>
              <w:t>, bao gồm:</w:t>
            </w:r>
          </w:p>
          <w:p w14:paraId="12C13EA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Nhà máy sản xuất các sản phẩm nhựa;</w:t>
            </w:r>
          </w:p>
          <w:p w14:paraId="1A8CAE1C"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Nhà máy sản xuất pin;</w:t>
            </w:r>
          </w:p>
          <w:p w14:paraId="2200392C"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Nhà máy sản xuất ắc quy;</w:t>
            </w:r>
          </w:p>
          <w:p w14:paraId="7D9E0E05"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Nhà máy sản xuất sơn các loại, nguyên liệu nhựa alkyd, acrylic;</w:t>
            </w:r>
          </w:p>
          <w:p w14:paraId="338CC92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 Nhà máy sản xuất săm lốp ô tô, máy kéo, mô tô, xe đạp; nhà máy sản xuất băng tải; nhà máy sản xuất cao su kỹ thuật;</w:t>
            </w:r>
          </w:p>
          <w:p w14:paraId="3B0CE5CF"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e) Dự án sản xuất vật liệu khác, trừ dự án quy định tại điểm 4 Mục II Phần A của Phụ lục này.</w:t>
            </w:r>
          </w:p>
          <w:p w14:paraId="78D90279"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8. Dự án quy định tại </w:t>
            </w:r>
            <w:bookmarkStart w:id="21" w:name="dc_98"/>
            <w:r w:rsidRPr="00F85420">
              <w:rPr>
                <w:rFonts w:ascii="Arial" w:eastAsia="Times New Roman" w:hAnsi="Arial" w:cs="Arial"/>
                <w:color w:val="000000"/>
                <w:sz w:val="18"/>
                <w:szCs w:val="18"/>
              </w:rPr>
              <w:t>điểm h khoản 3 Điều 9 của Luật Đầu tư công</w:t>
            </w:r>
            <w:bookmarkEnd w:id="21"/>
            <w:r w:rsidRPr="00F85420">
              <w:rPr>
                <w:rFonts w:ascii="Arial" w:eastAsia="Times New Roman" w:hAnsi="Arial" w:cs="Arial"/>
                <w:color w:val="000000"/>
                <w:sz w:val="18"/>
                <w:szCs w:val="18"/>
              </w:rPr>
              <w:t> bao gồm:</w:t>
            </w:r>
          </w:p>
          <w:p w14:paraId="3840D8B7"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Nhà máy lắp ráp xe máy;</w:t>
            </w:r>
          </w:p>
          <w:p w14:paraId="2AC6A898"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Nhà máy sản xuất phụ tùng ô tô, xe máy, xe đạp;</w:t>
            </w:r>
          </w:p>
          <w:p w14:paraId="223E86F8"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Dự án cơ khí khác, trừ các dự án quy định tại điểm 5 Mục II Phần này của Phụ lục này.</w:t>
            </w:r>
          </w:p>
          <w:p w14:paraId="53CC90F7"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9. Dự án quy định tại </w:t>
            </w:r>
            <w:bookmarkStart w:id="22" w:name="dc_99"/>
            <w:r w:rsidRPr="00F85420">
              <w:rPr>
                <w:rFonts w:ascii="Arial" w:eastAsia="Times New Roman" w:hAnsi="Arial" w:cs="Arial"/>
                <w:color w:val="000000"/>
                <w:sz w:val="18"/>
                <w:szCs w:val="18"/>
              </w:rPr>
              <w:t>điểm i khoản 3 Điều 9 của Luật Đầu tư công</w:t>
            </w:r>
            <w:bookmarkEnd w:id="22"/>
            <w:r w:rsidRPr="00F85420">
              <w:rPr>
                <w:rFonts w:ascii="Arial" w:eastAsia="Times New Roman" w:hAnsi="Arial" w:cs="Arial"/>
                <w:color w:val="000000"/>
                <w:sz w:val="18"/>
                <w:szCs w:val="18"/>
              </w:rPr>
              <w:t> bao gồm:</w:t>
            </w:r>
          </w:p>
          <w:p w14:paraId="69E2286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Tháp (cột) thu, phát sóng viễn thông;</w:t>
            </w:r>
          </w:p>
          <w:p w14:paraId="2434B4A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Tuyến cấp bể, tuyến cột, tuyến cáp viễn thông;</w:t>
            </w:r>
          </w:p>
          <w:p w14:paraId="1502940E"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Nhà phục vụ thông tin liên lạc, nhà bưu điện, nhà bưu cục, nhà lắp đặt thiết bị viễn thông;</w:t>
            </w:r>
          </w:p>
          <w:p w14:paraId="1EF69177"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Dự án đầu tư trang thiết bị bưu chính, viễn thông.</w:t>
            </w:r>
          </w:p>
        </w:tc>
        <w:tc>
          <w:tcPr>
            <w:tcW w:w="1000" w:type="pct"/>
            <w:tcBorders>
              <w:top w:val="nil"/>
              <w:left w:val="single" w:sz="8" w:space="0" w:color="auto"/>
              <w:bottom w:val="single" w:sz="8" w:space="0" w:color="auto"/>
              <w:right w:val="single" w:sz="8" w:space="0" w:color="auto"/>
            </w:tcBorders>
            <w:shd w:val="clear" w:color="auto" w:fill="auto"/>
            <w:hideMark/>
          </w:tcPr>
          <w:p w14:paraId="7437346E"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lastRenderedPageBreak/>
              <w:t>Từ 3.000 tỷ đồng trở lên</w:t>
            </w:r>
          </w:p>
        </w:tc>
      </w:tr>
      <w:tr w:rsidR="00F85420" w:rsidRPr="00F85420" w14:paraId="2DC9D267" w14:textId="77777777" w:rsidTr="00F85420">
        <w:trPr>
          <w:tblCellSpacing w:w="0" w:type="dxa"/>
        </w:trPr>
        <w:tc>
          <w:tcPr>
            <w:tcW w:w="300" w:type="pct"/>
            <w:tcBorders>
              <w:top w:val="nil"/>
              <w:left w:val="single" w:sz="8" w:space="0" w:color="auto"/>
              <w:bottom w:val="single" w:sz="8" w:space="0" w:color="auto"/>
              <w:right w:val="nil"/>
            </w:tcBorders>
            <w:shd w:val="clear" w:color="auto" w:fill="auto"/>
            <w:hideMark/>
          </w:tcPr>
          <w:p w14:paraId="203250EC"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lastRenderedPageBreak/>
              <w:t>IV</w:t>
            </w:r>
          </w:p>
        </w:tc>
        <w:tc>
          <w:tcPr>
            <w:tcW w:w="3650" w:type="pct"/>
            <w:tcBorders>
              <w:top w:val="nil"/>
              <w:left w:val="single" w:sz="8" w:space="0" w:color="auto"/>
              <w:bottom w:val="single" w:sz="8" w:space="0" w:color="auto"/>
              <w:right w:val="nil"/>
            </w:tcBorders>
            <w:shd w:val="clear" w:color="auto" w:fill="auto"/>
            <w:hideMark/>
          </w:tcPr>
          <w:p w14:paraId="45573C8F"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b/>
                <w:bCs/>
                <w:color w:val="000000"/>
                <w:sz w:val="18"/>
                <w:szCs w:val="18"/>
              </w:rPr>
              <w:t>PHÂN LOẠI DỰ ÁN NHÓM A THEO QUY ĐỊNH TẠI </w:t>
            </w:r>
            <w:bookmarkStart w:id="23" w:name="dc_100"/>
            <w:r w:rsidRPr="00F85420">
              <w:rPr>
                <w:rFonts w:ascii="Arial" w:eastAsia="Times New Roman" w:hAnsi="Arial" w:cs="Arial"/>
                <w:b/>
                <w:bCs/>
                <w:color w:val="000000"/>
                <w:sz w:val="18"/>
                <w:szCs w:val="18"/>
              </w:rPr>
              <w:t>KHOẢN 4 ĐIỀU 9 CỦA LUẬT ĐẦU TƯ CÔNG</w:t>
            </w:r>
            <w:bookmarkEnd w:id="23"/>
          </w:p>
          <w:p w14:paraId="3EBB1716"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1. Dự án theo quy định tại </w:t>
            </w:r>
            <w:bookmarkStart w:id="24" w:name="dc_101"/>
            <w:r w:rsidRPr="00F85420">
              <w:rPr>
                <w:rFonts w:ascii="Arial" w:eastAsia="Times New Roman" w:hAnsi="Arial" w:cs="Arial"/>
                <w:color w:val="000000"/>
                <w:sz w:val="18"/>
                <w:szCs w:val="18"/>
              </w:rPr>
              <w:t>điểm a khoản 4 Điều 9 của Luật Đầu tư công</w:t>
            </w:r>
            <w:bookmarkEnd w:id="24"/>
            <w:r w:rsidRPr="00F85420">
              <w:rPr>
                <w:rFonts w:ascii="Arial" w:eastAsia="Times New Roman" w:hAnsi="Arial" w:cs="Arial"/>
                <w:color w:val="000000"/>
                <w:sz w:val="18"/>
                <w:szCs w:val="18"/>
              </w:rPr>
              <w:t>, bao gồm:</w:t>
            </w:r>
          </w:p>
          <w:p w14:paraId="2A71785E"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Trồng rừng phòng hộ đầu nguồn và trồng cây chắn sóng bảo vệ đê; xây dựng, tu bổ đê điều;</w:t>
            </w:r>
          </w:p>
          <w:p w14:paraId="5E236BAA"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Dự án bảo vệ và phát triển rừng, hạ tầng lâm sinh;</w:t>
            </w:r>
          </w:p>
          <w:p w14:paraId="0FE63778"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Dự án sản xuất giống cây trồng, vật nuôi, giống cây lâm nghiệp và giống thủy sản;</w:t>
            </w:r>
          </w:p>
          <w:p w14:paraId="0DEAC0DA"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Hạ tầng sản xuất và phát triển nông, lâm nghiệp, diêm nghiệp và thủy sản;</w:t>
            </w:r>
          </w:p>
          <w:p w14:paraId="01F51EE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lastRenderedPageBreak/>
              <w:t>đ) Dự án định canh, định cư, di dời và ổn định dân cư ra khỏi khu vực thường xuyên xảy ra thiên tai;</w:t>
            </w:r>
          </w:p>
          <w:p w14:paraId="33AF1DC5"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e) Dự án hạ tầng phục vụ hoạt động khai thác muối mỏ, đập vụn muối và sàng muối; sản xuất muối từ nước biển, nước mặn ở hồ hoặc nước mặn tự nhiên khác; nghiền, tẩy rửa và tinh chế muối phục vụ cho sản xuất.</w:t>
            </w:r>
          </w:p>
          <w:p w14:paraId="6015DB98"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2. Dự án quy định tại </w:t>
            </w:r>
            <w:bookmarkStart w:id="25" w:name="dc_102"/>
            <w:r w:rsidRPr="00F85420">
              <w:rPr>
                <w:rFonts w:ascii="Arial" w:eastAsia="Times New Roman" w:hAnsi="Arial" w:cs="Arial"/>
                <w:color w:val="000000"/>
                <w:sz w:val="18"/>
                <w:szCs w:val="18"/>
              </w:rPr>
              <w:t>điểm b khoản 4 Điều 9 của Luật Đầu tư công</w:t>
            </w:r>
            <w:bookmarkEnd w:id="25"/>
            <w:r w:rsidRPr="00F85420">
              <w:rPr>
                <w:rFonts w:ascii="Arial" w:eastAsia="Times New Roman" w:hAnsi="Arial" w:cs="Arial"/>
                <w:color w:val="000000"/>
                <w:sz w:val="18"/>
                <w:szCs w:val="18"/>
              </w:rPr>
              <w:t>, bao gồm:</w:t>
            </w:r>
          </w:p>
          <w:p w14:paraId="41963C9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Dự án bảo vệ và phát triển rừng tại vườn quốc gia;</w:t>
            </w:r>
          </w:p>
          <w:p w14:paraId="3B9E8B8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Dự án bảo vệ khu bảo tồn thiên nhiên; các khu bảo tồn biển và khu bảo tồn vùng nước nội địa;</w:t>
            </w:r>
          </w:p>
          <w:p w14:paraId="4C5B6F6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Dự án bảo vệ và bảo tồn động, thực vật hoang dã; dự án bảo tồn và lưu giữ nguồn gien quý hiếm, trung tâm cứu hộ động vật hoang dã;</w:t>
            </w:r>
          </w:p>
          <w:p w14:paraId="6ACD35C1"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Dự án xây dựng công viên động vật hoang dã.</w:t>
            </w:r>
          </w:p>
          <w:p w14:paraId="5D941291"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3. Dự án quy định tại </w:t>
            </w:r>
            <w:bookmarkStart w:id="26" w:name="dc_103"/>
            <w:r w:rsidRPr="00F85420">
              <w:rPr>
                <w:rFonts w:ascii="Arial" w:eastAsia="Times New Roman" w:hAnsi="Arial" w:cs="Arial"/>
                <w:color w:val="000000"/>
                <w:sz w:val="18"/>
                <w:szCs w:val="18"/>
              </w:rPr>
              <w:t>điểm c khoản 4 Điều 9 của Luật Đầu tư công</w:t>
            </w:r>
            <w:bookmarkEnd w:id="26"/>
            <w:r w:rsidRPr="00F85420">
              <w:rPr>
                <w:rFonts w:ascii="Arial" w:eastAsia="Times New Roman" w:hAnsi="Arial" w:cs="Arial"/>
                <w:color w:val="000000"/>
                <w:sz w:val="18"/>
                <w:szCs w:val="18"/>
              </w:rPr>
              <w:t> là dự án tổng thể hạ tầng kỹ thuật của cả khu đô thị mới. Đối với các dự án thành phần hoặc dự án đầu tư hạ tầng được cấp có thẩm quyền phê duyệt bằng một quyết định đầu tư riêng trong khu đô thị mới (trừ các dự án quy định tại điểm 3 Mục III Phần A của Phụ lục này), việc phân nhóm dự án theo tiêu chí phân nhóm dự án quy định tại các điểm 1, 2, 4 Mục này và các Mục I, II, III, V Phần A và Phần B, C của Phụ lục này.</w:t>
            </w:r>
          </w:p>
          <w:p w14:paraId="14991C6B"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4. Dự án quy định tại </w:t>
            </w:r>
            <w:bookmarkStart w:id="27" w:name="dc_104"/>
            <w:r w:rsidRPr="00F85420">
              <w:rPr>
                <w:rFonts w:ascii="Arial" w:eastAsia="Times New Roman" w:hAnsi="Arial" w:cs="Arial"/>
                <w:color w:val="000000"/>
                <w:sz w:val="18"/>
                <w:szCs w:val="18"/>
              </w:rPr>
              <w:t>điểm d khoản 4 Điều 9 của Luật Đầu tư công</w:t>
            </w:r>
            <w:bookmarkEnd w:id="27"/>
            <w:r w:rsidRPr="00F85420">
              <w:rPr>
                <w:rFonts w:ascii="Arial" w:eastAsia="Times New Roman" w:hAnsi="Arial" w:cs="Arial"/>
                <w:color w:val="000000"/>
                <w:sz w:val="18"/>
                <w:szCs w:val="18"/>
              </w:rPr>
              <w:t>, bao gồm:</w:t>
            </w:r>
          </w:p>
          <w:p w14:paraId="50E4033F"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Nhà máy sữa; nhà máy sản xuất bánh kẹo, mỳ ăn liền; nhà máy sản xuất dầu ăn, hương liệu; nhà máy sản xuất rượu, bia, nước giải khát; nhà máy xay xát, lau bóng gạo; nhà máy chế biến nông, lâm sản khác;</w:t>
            </w:r>
          </w:p>
          <w:p w14:paraId="565D619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Nhà máy dệt; nhà máy sản xuất các sản phẩm may;</w:t>
            </w:r>
          </w:p>
          <w:p w14:paraId="57752E80"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Nhà máy in, nhuộm;</w:t>
            </w:r>
          </w:p>
          <w:p w14:paraId="4585C62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Nhà máy thuộc da và sản xuất các sản phẩm từ da;</w:t>
            </w:r>
          </w:p>
          <w:p w14:paraId="380ED3D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 Nhà máy sản xuất đồ sành sứ, thủy tinh;</w:t>
            </w:r>
          </w:p>
          <w:p w14:paraId="2BE13ED0"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e) Nhà máy bột giấy và giấy;</w:t>
            </w:r>
          </w:p>
          <w:p w14:paraId="7B33806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g) Nhà máy sản xuất thuốc lá;</w:t>
            </w:r>
          </w:p>
          <w:p w14:paraId="01D1331B"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h) Nhà máy chế biến thủy sản; nhà máy chế biến đồ hộp;</w:t>
            </w:r>
          </w:p>
          <w:p w14:paraId="51A23DE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i) Nhà máy chế biến gỗ và lâm sản ngoài gỗ;</w:t>
            </w:r>
          </w:p>
          <w:p w14:paraId="582D3EAD"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k) Nhà máy đóng tầu; dự án đóng tầu;</w:t>
            </w:r>
          </w:p>
          <w:p w14:paraId="5ACA6470"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l) Dự án công nghiệp khác, trừ các dự án thuộc lĩnh vực công nghiệp quy định tại các Mục I, II và III Phần A của Phụ lục này.</w:t>
            </w:r>
          </w:p>
        </w:tc>
        <w:tc>
          <w:tcPr>
            <w:tcW w:w="1000" w:type="pct"/>
            <w:tcBorders>
              <w:top w:val="nil"/>
              <w:left w:val="single" w:sz="8" w:space="0" w:color="auto"/>
              <w:bottom w:val="single" w:sz="8" w:space="0" w:color="auto"/>
              <w:right w:val="single" w:sz="8" w:space="0" w:color="auto"/>
            </w:tcBorders>
            <w:shd w:val="clear" w:color="auto" w:fill="auto"/>
            <w:hideMark/>
          </w:tcPr>
          <w:p w14:paraId="217C049D"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lastRenderedPageBreak/>
              <w:t>Từ 2.000 tỷ đồng trở lên</w:t>
            </w:r>
          </w:p>
        </w:tc>
      </w:tr>
      <w:tr w:rsidR="00F85420" w:rsidRPr="00F85420" w14:paraId="525C1DEF" w14:textId="77777777" w:rsidTr="00F85420">
        <w:trPr>
          <w:tblCellSpacing w:w="0" w:type="dxa"/>
        </w:trPr>
        <w:tc>
          <w:tcPr>
            <w:tcW w:w="300" w:type="pct"/>
            <w:tcBorders>
              <w:top w:val="nil"/>
              <w:left w:val="single" w:sz="8" w:space="0" w:color="auto"/>
              <w:bottom w:val="single" w:sz="8" w:space="0" w:color="auto"/>
              <w:right w:val="nil"/>
            </w:tcBorders>
            <w:shd w:val="clear" w:color="auto" w:fill="auto"/>
            <w:hideMark/>
          </w:tcPr>
          <w:p w14:paraId="32998B51"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V</w:t>
            </w:r>
          </w:p>
        </w:tc>
        <w:tc>
          <w:tcPr>
            <w:tcW w:w="3650" w:type="pct"/>
            <w:tcBorders>
              <w:top w:val="nil"/>
              <w:left w:val="single" w:sz="8" w:space="0" w:color="auto"/>
              <w:bottom w:val="single" w:sz="8" w:space="0" w:color="auto"/>
              <w:right w:val="nil"/>
            </w:tcBorders>
            <w:shd w:val="clear" w:color="auto" w:fill="auto"/>
            <w:hideMark/>
          </w:tcPr>
          <w:p w14:paraId="47826A5B"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b/>
                <w:bCs/>
                <w:color w:val="000000"/>
                <w:sz w:val="18"/>
                <w:szCs w:val="18"/>
              </w:rPr>
              <w:t>PHÂN LOẠI DỰ ÁN NHÓM A THEO QUY ĐỊNH TẠI </w:t>
            </w:r>
            <w:bookmarkStart w:id="28" w:name="dc_105"/>
            <w:r w:rsidRPr="00F85420">
              <w:rPr>
                <w:rFonts w:ascii="Arial" w:eastAsia="Times New Roman" w:hAnsi="Arial" w:cs="Arial"/>
                <w:b/>
                <w:bCs/>
                <w:color w:val="000000"/>
                <w:sz w:val="18"/>
                <w:szCs w:val="18"/>
              </w:rPr>
              <w:t>KHOẢN 5 ĐIỀU 9 CỦA LUẬT ĐẦU TƯ CÔNG</w:t>
            </w:r>
            <w:bookmarkEnd w:id="28"/>
          </w:p>
          <w:p w14:paraId="71370D48"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1. Dự án quy định tại </w:t>
            </w:r>
            <w:bookmarkStart w:id="29" w:name="dc_106"/>
            <w:r w:rsidRPr="00F85420">
              <w:rPr>
                <w:rFonts w:ascii="Arial" w:eastAsia="Times New Roman" w:hAnsi="Arial" w:cs="Arial"/>
                <w:color w:val="000000"/>
                <w:sz w:val="18"/>
                <w:szCs w:val="18"/>
              </w:rPr>
              <w:t>điểm a khoản 5 Điều 9 của Luật Đầu tư công</w:t>
            </w:r>
            <w:bookmarkEnd w:id="29"/>
          </w:p>
          <w:p w14:paraId="68057665"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Bệnh viện từ trung ương đến địa phương; phòng khám đa khoa, phòng khám chuyên khoa; cơ sở giám định y khoa; cơ sở chẩn đoán; nhà hộ sinh; trạm y tế cấp xã và tương đương; cơ sở y tế dự phòng; cơ sở phục hồi chức năng; tổ chức giám định pháp y, tổ chức giám định pháp y tâm thần từ trung ương đến địa phương; cơ sở nghiên cứu, thí nghiệm chuyên ngành y tế; các cơ sở y tế khác;</w:t>
            </w:r>
          </w:p>
          <w:p w14:paraId="349BE89E"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Nhà điều dưỡng, phục hồi chức năng, chỉnh hình, nhà dưỡng lão;</w:t>
            </w:r>
          </w:p>
          <w:p w14:paraId="5C37CCC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lastRenderedPageBreak/>
              <w:t>c) Cơ sở hỗ trợ hoạt động thanh thiếu niên, phụ nữ, nông dân; công trình ghi công liệt sĩ; cơ sở cai nghiện và trợ giúp xã hội; cơ sở chăm sóc người già neo đơn, trẻ mồ côi không nơi nương tựa;</w:t>
            </w:r>
          </w:p>
          <w:p w14:paraId="63B74D19"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Phát triển hạ tầng thông tin; thông tin cơ sở; an toàn thông tin; cơ quan báo, tạp chí; nhà xuất bản;</w:t>
            </w:r>
          </w:p>
          <w:p w14:paraId="0A15A661"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 Trung tâm hội nghị, nhà hát, nhà văn hóa, câu lạc bộ, rạp chiếu phim, rạp xiếc, vũ trường;</w:t>
            </w:r>
          </w:p>
          <w:p w14:paraId="7B9C9919"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e) Bảo tàng, thư viện, triển lãm, nhà trưng bày và các dự án văn hóa khác có chức năng tương tự;</w:t>
            </w:r>
          </w:p>
          <w:p w14:paraId="41AA475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g) Di tích; dự án phục vụ tín ngưỡng (hành lễ); tượng đài ngoài trời;</w:t>
            </w:r>
          </w:p>
          <w:p w14:paraId="3C7EFCB7"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h) Xây dựng phòng học, giảng đường, thư viện, nhà liên bộ, phòng làm việc, nhà công vụ, các công trình chức năng và phụ trợ, trang thiết bị của các cơ sở giáo dục, đào tạo và giáo dục nghề nghiệp;</w:t>
            </w:r>
          </w:p>
          <w:p w14:paraId="6EB1CFD8"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i) Khu nhà ở cho sinh viên, học sinh (ký túc xá sinh viên, học sinh).</w:t>
            </w:r>
          </w:p>
          <w:p w14:paraId="367F89BB" w14:textId="77777777" w:rsidR="00F85420" w:rsidRPr="00F85420" w:rsidRDefault="00F85420" w:rsidP="00F85420">
            <w:pPr>
              <w:rPr>
                <w:rFonts w:ascii="Arial" w:hAnsi="Arial" w:cs="Arial"/>
                <w:sz w:val="18"/>
                <w:szCs w:val="18"/>
              </w:rPr>
            </w:pPr>
            <w:bookmarkStart w:id="30" w:name="khoan_2_5_a_pl1"/>
            <w:r w:rsidRPr="00F85420">
              <w:rPr>
                <w:rFonts w:ascii="Arial" w:hAnsi="Arial" w:cs="Arial"/>
                <w:sz w:val="18"/>
                <w:szCs w:val="18"/>
              </w:rPr>
              <w:t>2. Dự án quy định tại</w:t>
            </w:r>
            <w:bookmarkEnd w:id="30"/>
            <w:r w:rsidRPr="00F85420">
              <w:rPr>
                <w:rFonts w:ascii="Arial" w:hAnsi="Arial" w:cs="Arial"/>
                <w:sz w:val="18"/>
                <w:szCs w:val="18"/>
              </w:rPr>
              <w:t> </w:t>
            </w:r>
            <w:bookmarkStart w:id="31" w:name="dc_107"/>
            <w:r w:rsidRPr="00F85420">
              <w:rPr>
                <w:rFonts w:ascii="Arial" w:hAnsi="Arial" w:cs="Arial"/>
                <w:sz w:val="18"/>
                <w:szCs w:val="18"/>
              </w:rPr>
              <w:t>điểm b khoản 5 Điều 9 của Luật Đầu tư công</w:t>
            </w:r>
            <w:bookmarkEnd w:id="31"/>
          </w:p>
          <w:p w14:paraId="55D392F0" w14:textId="77777777" w:rsidR="00F85420" w:rsidRPr="00F85420" w:rsidRDefault="00F85420" w:rsidP="00F85420">
            <w:pPr>
              <w:rPr>
                <w:rFonts w:ascii="Arial" w:hAnsi="Arial" w:cs="Arial"/>
                <w:sz w:val="18"/>
                <w:szCs w:val="18"/>
              </w:rPr>
            </w:pPr>
            <w:r w:rsidRPr="00F85420">
              <w:rPr>
                <w:rFonts w:ascii="Arial" w:hAnsi="Arial" w:cs="Arial"/>
                <w:sz w:val="18"/>
                <w:szCs w:val="18"/>
              </w:rPr>
              <w:t>a) Đầu tư cơ sở vật chất</w:t>
            </w:r>
            <w:r w:rsidRPr="00F85420">
              <w:rPr>
                <w:rFonts w:ascii="Arial" w:hAnsi="Arial" w:cs="Arial"/>
                <w:sz w:val="18"/>
                <w:szCs w:val="18"/>
              </w:rPr>
              <w:t xml:space="preserve"> cho các tổ chức khoa học và công nghệ;</w:t>
            </w:r>
          </w:p>
          <w:p w14:paraId="30B8F06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Phòng thí nghiệm, xưởng thực nghiệm;</w:t>
            </w:r>
          </w:p>
          <w:p w14:paraId="41EAA85B"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Trung tâm phân tích, kiểm nghiệm, kiểm định;</w:t>
            </w:r>
          </w:p>
          <w:p w14:paraId="62499335"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Phòng thiết kế chuyên dụng trong lĩnh vực khoa học tự nhiên và kỹ thuật; các trung tâm ứng dụng và chuyển giao công nghệ;</w:t>
            </w:r>
          </w:p>
          <w:p w14:paraId="3BA14487"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 Dự án Tiêu chuẩn - Đo lường - Chất lượng;</w:t>
            </w:r>
          </w:p>
          <w:p w14:paraId="34CEB49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e) Trạm, trại thực nghiệm;</w:t>
            </w:r>
          </w:p>
          <w:p w14:paraId="78F25AD1"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g) Dự án tổng thể hạ tầng khu công nghệ cao, khu nông nghiệp ứng dụng công nghệ cao;</w:t>
            </w:r>
          </w:p>
          <w:p w14:paraId="049307F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h) Mạng lưới quan trắc khí tượng thủy văn, quan trắc môi trường, quan trắc tài nguyên nước, đo đạc bản đồ, quản lý đất đai, địa chất khoáng sản;</w:t>
            </w:r>
          </w:p>
          <w:p w14:paraId="17A4D138"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i) Đầu tư hạ tầng ứng dụng công nghệ thông tin;</w:t>
            </w:r>
          </w:p>
          <w:p w14:paraId="28FAFFF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k) Dự án bảo mật và an toàn thông tin điện tử;</w:t>
            </w:r>
          </w:p>
          <w:p w14:paraId="4039E65E"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l) Hạ tầng thương mại điện tử, giao dịch điện tử;</w:t>
            </w:r>
          </w:p>
          <w:p w14:paraId="08477CDE"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m) Tháp thu, phát sóng truyền thanh, truyền hình, cột BTS;</w:t>
            </w:r>
          </w:p>
          <w:p w14:paraId="398E068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n) Dự án phát thanh, truyền hình, thông tấn;</w:t>
            </w:r>
          </w:p>
          <w:p w14:paraId="189D0D29" w14:textId="4BBDB95A" w:rsid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o) Dự án mua sắm phương tiện, trang thiết bị chuyên dùng phục vụ trong lĩnh vực tài chính, ngân hàng; dự án đầu tư, xây dựng công trình phục vụ trong lĩnh vực tài chính, ngân hàng.</w:t>
            </w:r>
          </w:p>
          <w:p w14:paraId="487C8A2F" w14:textId="775FC60C" w:rsidR="00F85420" w:rsidRPr="00F85420" w:rsidRDefault="00F85420" w:rsidP="00F85420">
            <w:pPr>
              <w:rPr>
                <w:rFonts w:ascii="Arial" w:hAnsi="Arial" w:cs="Arial"/>
                <w:sz w:val="18"/>
                <w:szCs w:val="18"/>
              </w:rPr>
            </w:pPr>
            <w:r w:rsidRPr="00F85420">
              <w:rPr>
                <w:rFonts w:ascii="Arial" w:hAnsi="Arial" w:cs="Arial"/>
                <w:sz w:val="18"/>
                <w:szCs w:val="18"/>
              </w:rPr>
              <w:t>p) Dự án nghiên cứu, sản xuất sản phẩm, dịch vụ công nghiệp công nghệ số, trí tuệ nhân tạo, bán dẫn; khu công nghệ số tập trung; hạ tầng công nghiệp công nghệ số.</w:t>
            </w:r>
          </w:p>
          <w:p w14:paraId="5C0EA680"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3. Dự án quy định tại </w:t>
            </w:r>
            <w:bookmarkStart w:id="32" w:name="dc_108"/>
            <w:r w:rsidRPr="00F85420">
              <w:rPr>
                <w:rFonts w:ascii="Arial" w:eastAsia="Times New Roman" w:hAnsi="Arial" w:cs="Arial"/>
                <w:color w:val="000000"/>
                <w:sz w:val="18"/>
                <w:szCs w:val="18"/>
              </w:rPr>
              <w:t>điểm c khoản 5 Điều 9 của Luật Đầu tư công</w:t>
            </w:r>
            <w:bookmarkEnd w:id="32"/>
            <w:r w:rsidRPr="00F85420">
              <w:rPr>
                <w:rFonts w:ascii="Arial" w:eastAsia="Times New Roman" w:hAnsi="Arial" w:cs="Arial"/>
                <w:color w:val="000000"/>
                <w:sz w:val="18"/>
                <w:szCs w:val="18"/>
              </w:rPr>
              <w:t>, bao gồm:</w:t>
            </w:r>
          </w:p>
          <w:p w14:paraId="391656B7"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Kho xăng dầu;</w:t>
            </w:r>
          </w:p>
          <w:p w14:paraId="290978A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Kho chứa khí hóa lỏng;</w:t>
            </w:r>
          </w:p>
          <w:p w14:paraId="6B65A3A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Kho đông lạnh;</w:t>
            </w:r>
          </w:p>
          <w:p w14:paraId="35437450"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lastRenderedPageBreak/>
              <w:t>d) Kho, bến bãi lưu giữ hàng dự trữ quốc gia;</w:t>
            </w:r>
          </w:p>
          <w:p w14:paraId="77D201A4"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 Kho lưu trữ chuyên dụng;</w:t>
            </w:r>
          </w:p>
          <w:p w14:paraId="4E95F5F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e) Kho lưu trữ hồ sơ, tài liệu, kho vật chứng;</w:t>
            </w:r>
          </w:p>
          <w:p w14:paraId="6A095167"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g) Các dự án kho tàng khác.</w:t>
            </w:r>
          </w:p>
          <w:p w14:paraId="0284CC5D"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4. Dự án theo quy định tại </w:t>
            </w:r>
            <w:bookmarkStart w:id="33" w:name="dc_109"/>
            <w:r w:rsidRPr="00F85420">
              <w:rPr>
                <w:rFonts w:ascii="Arial" w:eastAsia="Times New Roman" w:hAnsi="Arial" w:cs="Arial"/>
                <w:color w:val="000000"/>
                <w:sz w:val="18"/>
                <w:szCs w:val="18"/>
              </w:rPr>
              <w:t>điểm d khoản 5 Điều 9 của Luật Đầu tư công</w:t>
            </w:r>
            <w:bookmarkEnd w:id="33"/>
            <w:r w:rsidRPr="00F85420">
              <w:rPr>
                <w:rFonts w:ascii="Arial" w:eastAsia="Times New Roman" w:hAnsi="Arial" w:cs="Arial"/>
                <w:color w:val="000000"/>
                <w:sz w:val="18"/>
                <w:szCs w:val="18"/>
              </w:rPr>
              <w:t>, bao gồm:</w:t>
            </w:r>
          </w:p>
          <w:p w14:paraId="3BA0CD7F"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Khu vui chơi, giải trí;</w:t>
            </w:r>
          </w:p>
          <w:p w14:paraId="22F86672"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Cáp treo vận chuyển người;</w:t>
            </w:r>
          </w:p>
          <w:p w14:paraId="2E7EDDB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Dự án hạ tầng khu, điểm du lịch, bao gồm: đường nội bộ khu, điểm du lịch; kè nạo vét lòng hồ để bảo vệ, tôn tạo tài nguyên du lịch tại các khu, điểm du lịch và dự án hạ tầng khác trong khu, điểm du lịch;</w:t>
            </w:r>
          </w:p>
          <w:p w14:paraId="540C4EBB"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Sân vận động; nhà thi đấu; bể bơi; sân gôn; cơ sở tập luyện, thi đấu các môn thể thao khác ở trong nhà, ngoài trời; công trình thể thao khác.</w:t>
            </w:r>
          </w:p>
          <w:p w14:paraId="77353DF0"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5. Dự án theo quy định tại </w:t>
            </w:r>
            <w:bookmarkStart w:id="34" w:name="dc_110"/>
            <w:r w:rsidRPr="00F85420">
              <w:rPr>
                <w:rFonts w:ascii="Arial" w:eastAsia="Times New Roman" w:hAnsi="Arial" w:cs="Arial"/>
                <w:color w:val="000000"/>
                <w:sz w:val="18"/>
                <w:szCs w:val="18"/>
              </w:rPr>
              <w:t>điểm đ khoản 5 Điều 9 của Luật Đầu tư công</w:t>
            </w:r>
            <w:bookmarkEnd w:id="34"/>
            <w:r w:rsidRPr="00F85420">
              <w:rPr>
                <w:rFonts w:ascii="Arial" w:eastAsia="Times New Roman" w:hAnsi="Arial" w:cs="Arial"/>
                <w:color w:val="000000"/>
                <w:sz w:val="18"/>
                <w:szCs w:val="18"/>
              </w:rPr>
              <w:t>, bao gồm:</w:t>
            </w:r>
          </w:p>
          <w:p w14:paraId="50961081"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a) Trung tâm thương mại, siêu thị, chợ, trung tâm hội chợ triển lãm, trung tâm logistic và các dự án thương mại, dịch vụ khác;</w:t>
            </w:r>
          </w:p>
          <w:p w14:paraId="2804097E"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b) Nhà đa năng, nhà khách, khách sạn;</w:t>
            </w:r>
          </w:p>
          <w:p w14:paraId="3DECFE71"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c) Trụ sở cơ quan nhà nước và tổ chức chính trị, trụ sở làm việc của các đơn vị sự nghiệp, doanh nghiệp, các tổ chức chính trị xã hội và tổ chức khác;</w:t>
            </w:r>
          </w:p>
          <w:p w14:paraId="47E9FC75"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 Dự án nhà ở, khu nhà biệt thự, khu nhà ở riêng lẻ, trừ dự án xây dựng khu nhà ở quy định tại điểm 7 Mục II Phần A của Phụ lục này;</w:t>
            </w:r>
          </w:p>
          <w:p w14:paraId="7686F250"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đ) Dự án xây dựng dân dụng khác.</w:t>
            </w:r>
          </w:p>
          <w:p w14:paraId="320AD0CA" w14:textId="77777777" w:rsidR="00F85420" w:rsidRPr="00F85420" w:rsidRDefault="00F85420" w:rsidP="00F85420">
            <w:pPr>
              <w:spacing w:after="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6. Dự án theo quy định tại </w:t>
            </w:r>
            <w:bookmarkStart w:id="35" w:name="dc_111"/>
            <w:r w:rsidRPr="00F85420">
              <w:rPr>
                <w:rFonts w:ascii="Arial" w:eastAsia="Times New Roman" w:hAnsi="Arial" w:cs="Arial"/>
                <w:color w:val="000000"/>
                <w:sz w:val="18"/>
                <w:szCs w:val="18"/>
              </w:rPr>
              <w:t>điểm e khoản 5 Điều 9 của Luật Đầu tư công</w:t>
            </w:r>
            <w:bookmarkEnd w:id="35"/>
            <w:r w:rsidRPr="00F85420">
              <w:rPr>
                <w:rFonts w:ascii="Arial" w:eastAsia="Times New Roman" w:hAnsi="Arial" w:cs="Arial"/>
                <w:color w:val="000000"/>
                <w:sz w:val="18"/>
                <w:szCs w:val="18"/>
              </w:rPr>
              <w:t>.</w:t>
            </w:r>
          </w:p>
        </w:tc>
        <w:tc>
          <w:tcPr>
            <w:tcW w:w="1000" w:type="pct"/>
            <w:tcBorders>
              <w:top w:val="nil"/>
              <w:left w:val="single" w:sz="8" w:space="0" w:color="auto"/>
              <w:bottom w:val="single" w:sz="8" w:space="0" w:color="auto"/>
              <w:right w:val="single" w:sz="8" w:space="0" w:color="auto"/>
            </w:tcBorders>
            <w:shd w:val="clear" w:color="auto" w:fill="auto"/>
            <w:hideMark/>
          </w:tcPr>
          <w:p w14:paraId="63F8943F"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lastRenderedPageBreak/>
              <w:t>Từ 1.600 tỷ đồng trở lên</w:t>
            </w:r>
          </w:p>
        </w:tc>
      </w:tr>
      <w:tr w:rsidR="00F85420" w:rsidRPr="00F85420" w14:paraId="4D33F274" w14:textId="77777777" w:rsidTr="00F85420">
        <w:trPr>
          <w:tblCellSpacing w:w="0" w:type="dxa"/>
        </w:trPr>
        <w:tc>
          <w:tcPr>
            <w:tcW w:w="300" w:type="pct"/>
            <w:tcBorders>
              <w:top w:val="nil"/>
              <w:left w:val="single" w:sz="8" w:space="0" w:color="auto"/>
              <w:bottom w:val="single" w:sz="8" w:space="0" w:color="auto"/>
              <w:right w:val="nil"/>
            </w:tcBorders>
            <w:shd w:val="clear" w:color="auto" w:fill="auto"/>
            <w:hideMark/>
          </w:tcPr>
          <w:p w14:paraId="32F54CFD"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lastRenderedPageBreak/>
              <w:t>B</w:t>
            </w:r>
          </w:p>
        </w:tc>
        <w:tc>
          <w:tcPr>
            <w:tcW w:w="3650" w:type="pct"/>
            <w:tcBorders>
              <w:top w:val="nil"/>
              <w:left w:val="single" w:sz="8" w:space="0" w:color="auto"/>
              <w:bottom w:val="single" w:sz="8" w:space="0" w:color="auto"/>
              <w:right w:val="nil"/>
            </w:tcBorders>
            <w:shd w:val="clear" w:color="auto" w:fill="auto"/>
            <w:hideMark/>
          </w:tcPr>
          <w:p w14:paraId="079766B9"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NHÓM B</w:t>
            </w:r>
          </w:p>
        </w:tc>
        <w:tc>
          <w:tcPr>
            <w:tcW w:w="1000" w:type="pct"/>
            <w:tcBorders>
              <w:top w:val="nil"/>
              <w:left w:val="single" w:sz="8" w:space="0" w:color="auto"/>
              <w:bottom w:val="single" w:sz="8" w:space="0" w:color="auto"/>
              <w:right w:val="single" w:sz="8" w:space="0" w:color="auto"/>
            </w:tcBorders>
            <w:shd w:val="clear" w:color="auto" w:fill="auto"/>
            <w:hideMark/>
          </w:tcPr>
          <w:p w14:paraId="564C6E65"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t> </w:t>
            </w:r>
          </w:p>
        </w:tc>
      </w:tr>
      <w:tr w:rsidR="00F85420" w:rsidRPr="00F85420" w14:paraId="5CB1306F" w14:textId="77777777" w:rsidTr="00F85420">
        <w:trPr>
          <w:tblCellSpacing w:w="0" w:type="dxa"/>
        </w:trPr>
        <w:tc>
          <w:tcPr>
            <w:tcW w:w="300" w:type="pct"/>
            <w:tcBorders>
              <w:top w:val="nil"/>
              <w:left w:val="single" w:sz="8" w:space="0" w:color="auto"/>
              <w:bottom w:val="single" w:sz="8" w:space="0" w:color="auto"/>
              <w:right w:val="nil"/>
            </w:tcBorders>
            <w:shd w:val="clear" w:color="auto" w:fill="auto"/>
            <w:hideMark/>
          </w:tcPr>
          <w:p w14:paraId="5CE93D35"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I</w:t>
            </w:r>
          </w:p>
        </w:tc>
        <w:tc>
          <w:tcPr>
            <w:tcW w:w="3650" w:type="pct"/>
            <w:tcBorders>
              <w:top w:val="nil"/>
              <w:left w:val="single" w:sz="8" w:space="0" w:color="auto"/>
              <w:bottom w:val="single" w:sz="8" w:space="0" w:color="auto"/>
              <w:right w:val="nil"/>
            </w:tcBorders>
            <w:shd w:val="clear" w:color="auto" w:fill="auto"/>
            <w:hideMark/>
          </w:tcPr>
          <w:p w14:paraId="7ADDF7C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Dự án thuộc lĩnh vực quy định tại Mục II Phần A</w:t>
            </w:r>
          </w:p>
        </w:tc>
        <w:tc>
          <w:tcPr>
            <w:tcW w:w="1000" w:type="pct"/>
            <w:tcBorders>
              <w:top w:val="nil"/>
              <w:left w:val="single" w:sz="8" w:space="0" w:color="auto"/>
              <w:bottom w:val="single" w:sz="8" w:space="0" w:color="auto"/>
              <w:right w:val="single" w:sz="8" w:space="0" w:color="auto"/>
            </w:tcBorders>
            <w:shd w:val="clear" w:color="auto" w:fill="auto"/>
            <w:hideMark/>
          </w:tcPr>
          <w:p w14:paraId="3076E80E"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t>Từ 240 tỷ đồng đến dưới 4.600 tỷ đồng</w:t>
            </w:r>
          </w:p>
        </w:tc>
      </w:tr>
      <w:tr w:rsidR="00F85420" w:rsidRPr="00F85420" w14:paraId="07E4FD88" w14:textId="77777777" w:rsidTr="00F85420">
        <w:trPr>
          <w:tblCellSpacing w:w="0" w:type="dxa"/>
        </w:trPr>
        <w:tc>
          <w:tcPr>
            <w:tcW w:w="300" w:type="pct"/>
            <w:tcBorders>
              <w:top w:val="nil"/>
              <w:left w:val="single" w:sz="8" w:space="0" w:color="auto"/>
              <w:bottom w:val="single" w:sz="8" w:space="0" w:color="auto"/>
              <w:right w:val="nil"/>
            </w:tcBorders>
            <w:shd w:val="clear" w:color="auto" w:fill="auto"/>
            <w:hideMark/>
          </w:tcPr>
          <w:p w14:paraId="149BF9E1"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II</w:t>
            </w:r>
          </w:p>
        </w:tc>
        <w:tc>
          <w:tcPr>
            <w:tcW w:w="3650" w:type="pct"/>
            <w:tcBorders>
              <w:top w:val="nil"/>
              <w:left w:val="single" w:sz="8" w:space="0" w:color="auto"/>
              <w:bottom w:val="single" w:sz="8" w:space="0" w:color="auto"/>
              <w:right w:val="nil"/>
            </w:tcBorders>
            <w:shd w:val="clear" w:color="auto" w:fill="auto"/>
            <w:hideMark/>
          </w:tcPr>
          <w:p w14:paraId="3ECDE14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Dự án thuộc lĩnh vực quy định tại Mục III Phần A</w:t>
            </w:r>
          </w:p>
        </w:tc>
        <w:tc>
          <w:tcPr>
            <w:tcW w:w="1000" w:type="pct"/>
            <w:tcBorders>
              <w:top w:val="nil"/>
              <w:left w:val="single" w:sz="8" w:space="0" w:color="auto"/>
              <w:bottom w:val="single" w:sz="8" w:space="0" w:color="auto"/>
              <w:right w:val="single" w:sz="8" w:space="0" w:color="auto"/>
            </w:tcBorders>
            <w:shd w:val="clear" w:color="auto" w:fill="auto"/>
            <w:hideMark/>
          </w:tcPr>
          <w:p w14:paraId="7B47ADD7"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t>Từ 160 tỷ đồng đến dưới 3.000 tỷ đồng</w:t>
            </w:r>
          </w:p>
        </w:tc>
      </w:tr>
      <w:tr w:rsidR="00F85420" w:rsidRPr="00F85420" w14:paraId="23222FBA" w14:textId="77777777" w:rsidTr="00F85420">
        <w:trPr>
          <w:tblCellSpacing w:w="0" w:type="dxa"/>
        </w:trPr>
        <w:tc>
          <w:tcPr>
            <w:tcW w:w="300" w:type="pct"/>
            <w:tcBorders>
              <w:top w:val="nil"/>
              <w:left w:val="single" w:sz="8" w:space="0" w:color="auto"/>
              <w:bottom w:val="single" w:sz="8" w:space="0" w:color="auto"/>
              <w:right w:val="nil"/>
            </w:tcBorders>
            <w:shd w:val="clear" w:color="auto" w:fill="auto"/>
            <w:hideMark/>
          </w:tcPr>
          <w:p w14:paraId="76DEF796"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III</w:t>
            </w:r>
          </w:p>
        </w:tc>
        <w:tc>
          <w:tcPr>
            <w:tcW w:w="3650" w:type="pct"/>
            <w:tcBorders>
              <w:top w:val="nil"/>
              <w:left w:val="single" w:sz="8" w:space="0" w:color="auto"/>
              <w:bottom w:val="single" w:sz="8" w:space="0" w:color="auto"/>
              <w:right w:val="nil"/>
            </w:tcBorders>
            <w:shd w:val="clear" w:color="auto" w:fill="auto"/>
            <w:hideMark/>
          </w:tcPr>
          <w:p w14:paraId="62CD23A3"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Dự án thuộc lĩnh vực quy định tại Mục IV Phần A</w:t>
            </w:r>
          </w:p>
        </w:tc>
        <w:tc>
          <w:tcPr>
            <w:tcW w:w="1000" w:type="pct"/>
            <w:tcBorders>
              <w:top w:val="nil"/>
              <w:left w:val="single" w:sz="8" w:space="0" w:color="auto"/>
              <w:bottom w:val="single" w:sz="8" w:space="0" w:color="auto"/>
              <w:right w:val="single" w:sz="8" w:space="0" w:color="auto"/>
            </w:tcBorders>
            <w:shd w:val="clear" w:color="auto" w:fill="auto"/>
            <w:hideMark/>
          </w:tcPr>
          <w:p w14:paraId="72DCFEA7"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t>Từ 120 tỷ đồng đến dưới 2.000 tỷ đồng</w:t>
            </w:r>
          </w:p>
        </w:tc>
      </w:tr>
      <w:tr w:rsidR="00F85420" w:rsidRPr="00F85420" w14:paraId="03D9E75E" w14:textId="77777777" w:rsidTr="00F85420">
        <w:trPr>
          <w:tblCellSpacing w:w="0" w:type="dxa"/>
        </w:trPr>
        <w:tc>
          <w:tcPr>
            <w:tcW w:w="300" w:type="pct"/>
            <w:tcBorders>
              <w:top w:val="nil"/>
              <w:left w:val="single" w:sz="8" w:space="0" w:color="auto"/>
              <w:bottom w:val="single" w:sz="8" w:space="0" w:color="auto"/>
              <w:right w:val="nil"/>
            </w:tcBorders>
            <w:shd w:val="clear" w:color="auto" w:fill="auto"/>
            <w:hideMark/>
          </w:tcPr>
          <w:p w14:paraId="718DAB23"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IV</w:t>
            </w:r>
          </w:p>
        </w:tc>
        <w:tc>
          <w:tcPr>
            <w:tcW w:w="3650" w:type="pct"/>
            <w:tcBorders>
              <w:top w:val="nil"/>
              <w:left w:val="single" w:sz="8" w:space="0" w:color="auto"/>
              <w:bottom w:val="single" w:sz="8" w:space="0" w:color="auto"/>
              <w:right w:val="nil"/>
            </w:tcBorders>
            <w:shd w:val="clear" w:color="auto" w:fill="auto"/>
            <w:hideMark/>
          </w:tcPr>
          <w:p w14:paraId="62EB633C"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Dự án thuộc lĩnh vực quy định tại Mục V Phần A</w:t>
            </w:r>
          </w:p>
        </w:tc>
        <w:tc>
          <w:tcPr>
            <w:tcW w:w="1000" w:type="pct"/>
            <w:tcBorders>
              <w:top w:val="nil"/>
              <w:left w:val="single" w:sz="8" w:space="0" w:color="auto"/>
              <w:bottom w:val="single" w:sz="8" w:space="0" w:color="auto"/>
              <w:right w:val="single" w:sz="8" w:space="0" w:color="auto"/>
            </w:tcBorders>
            <w:shd w:val="clear" w:color="auto" w:fill="auto"/>
            <w:hideMark/>
          </w:tcPr>
          <w:p w14:paraId="7B4AE902"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t>Từ 90 tỷ đồng đến dưới 1.600 tỷ đồng</w:t>
            </w:r>
          </w:p>
        </w:tc>
      </w:tr>
      <w:tr w:rsidR="00F85420" w:rsidRPr="00F85420" w14:paraId="5A5B9561" w14:textId="77777777" w:rsidTr="00F85420">
        <w:trPr>
          <w:tblCellSpacing w:w="0" w:type="dxa"/>
        </w:trPr>
        <w:tc>
          <w:tcPr>
            <w:tcW w:w="300" w:type="pct"/>
            <w:tcBorders>
              <w:top w:val="nil"/>
              <w:left w:val="single" w:sz="8" w:space="0" w:color="auto"/>
              <w:bottom w:val="single" w:sz="8" w:space="0" w:color="auto"/>
              <w:right w:val="nil"/>
            </w:tcBorders>
            <w:shd w:val="clear" w:color="auto" w:fill="auto"/>
            <w:hideMark/>
          </w:tcPr>
          <w:p w14:paraId="598DBB84"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C</w:t>
            </w:r>
          </w:p>
        </w:tc>
        <w:tc>
          <w:tcPr>
            <w:tcW w:w="3650" w:type="pct"/>
            <w:tcBorders>
              <w:top w:val="nil"/>
              <w:left w:val="single" w:sz="8" w:space="0" w:color="auto"/>
              <w:bottom w:val="single" w:sz="8" w:space="0" w:color="auto"/>
              <w:right w:val="nil"/>
            </w:tcBorders>
            <w:shd w:val="clear" w:color="auto" w:fill="auto"/>
            <w:hideMark/>
          </w:tcPr>
          <w:p w14:paraId="2D5FA3E6"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NHÓM C</w:t>
            </w:r>
          </w:p>
        </w:tc>
        <w:tc>
          <w:tcPr>
            <w:tcW w:w="1000" w:type="pct"/>
            <w:tcBorders>
              <w:top w:val="nil"/>
              <w:left w:val="single" w:sz="8" w:space="0" w:color="auto"/>
              <w:bottom w:val="single" w:sz="8" w:space="0" w:color="auto"/>
              <w:right w:val="single" w:sz="8" w:space="0" w:color="auto"/>
            </w:tcBorders>
            <w:shd w:val="clear" w:color="auto" w:fill="auto"/>
            <w:hideMark/>
          </w:tcPr>
          <w:p w14:paraId="491F8C71"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t> </w:t>
            </w:r>
          </w:p>
        </w:tc>
      </w:tr>
      <w:tr w:rsidR="00F85420" w:rsidRPr="00F85420" w14:paraId="56EF8375" w14:textId="77777777" w:rsidTr="00F85420">
        <w:trPr>
          <w:tblCellSpacing w:w="0" w:type="dxa"/>
        </w:trPr>
        <w:tc>
          <w:tcPr>
            <w:tcW w:w="300" w:type="pct"/>
            <w:tcBorders>
              <w:top w:val="nil"/>
              <w:left w:val="single" w:sz="8" w:space="0" w:color="auto"/>
              <w:bottom w:val="single" w:sz="8" w:space="0" w:color="auto"/>
              <w:right w:val="nil"/>
            </w:tcBorders>
            <w:shd w:val="clear" w:color="auto" w:fill="auto"/>
            <w:hideMark/>
          </w:tcPr>
          <w:p w14:paraId="067E8B46"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I</w:t>
            </w:r>
          </w:p>
        </w:tc>
        <w:tc>
          <w:tcPr>
            <w:tcW w:w="3650" w:type="pct"/>
            <w:tcBorders>
              <w:top w:val="nil"/>
              <w:left w:val="single" w:sz="8" w:space="0" w:color="auto"/>
              <w:bottom w:val="single" w:sz="8" w:space="0" w:color="auto"/>
              <w:right w:val="nil"/>
            </w:tcBorders>
            <w:shd w:val="clear" w:color="auto" w:fill="auto"/>
            <w:hideMark/>
          </w:tcPr>
          <w:p w14:paraId="3FB1B886"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Dự án thuộc lĩnh vực quy định tại Mục II Phần A</w:t>
            </w:r>
          </w:p>
        </w:tc>
        <w:tc>
          <w:tcPr>
            <w:tcW w:w="1000" w:type="pct"/>
            <w:tcBorders>
              <w:top w:val="nil"/>
              <w:left w:val="single" w:sz="8" w:space="0" w:color="auto"/>
              <w:bottom w:val="single" w:sz="8" w:space="0" w:color="auto"/>
              <w:right w:val="single" w:sz="8" w:space="0" w:color="auto"/>
            </w:tcBorders>
            <w:shd w:val="clear" w:color="auto" w:fill="auto"/>
            <w:hideMark/>
          </w:tcPr>
          <w:p w14:paraId="2000BA15"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t>Dưới 240 tỷ đồng</w:t>
            </w:r>
          </w:p>
        </w:tc>
      </w:tr>
      <w:tr w:rsidR="00F85420" w:rsidRPr="00F85420" w14:paraId="50F407AA" w14:textId="77777777" w:rsidTr="00F85420">
        <w:trPr>
          <w:tblCellSpacing w:w="0" w:type="dxa"/>
        </w:trPr>
        <w:tc>
          <w:tcPr>
            <w:tcW w:w="300" w:type="pct"/>
            <w:tcBorders>
              <w:top w:val="nil"/>
              <w:left w:val="single" w:sz="8" w:space="0" w:color="auto"/>
              <w:bottom w:val="single" w:sz="8" w:space="0" w:color="auto"/>
              <w:right w:val="nil"/>
            </w:tcBorders>
            <w:shd w:val="clear" w:color="auto" w:fill="auto"/>
            <w:hideMark/>
          </w:tcPr>
          <w:p w14:paraId="3D92F273"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II</w:t>
            </w:r>
          </w:p>
        </w:tc>
        <w:tc>
          <w:tcPr>
            <w:tcW w:w="3650" w:type="pct"/>
            <w:tcBorders>
              <w:top w:val="nil"/>
              <w:left w:val="single" w:sz="8" w:space="0" w:color="auto"/>
              <w:bottom w:val="single" w:sz="8" w:space="0" w:color="auto"/>
              <w:right w:val="nil"/>
            </w:tcBorders>
            <w:shd w:val="clear" w:color="auto" w:fill="auto"/>
            <w:hideMark/>
          </w:tcPr>
          <w:p w14:paraId="496C028A"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Dự án thuộc lĩnh vực quy định tại Mục III Phần A</w:t>
            </w:r>
          </w:p>
        </w:tc>
        <w:tc>
          <w:tcPr>
            <w:tcW w:w="1000" w:type="pct"/>
            <w:tcBorders>
              <w:top w:val="nil"/>
              <w:left w:val="single" w:sz="8" w:space="0" w:color="auto"/>
              <w:bottom w:val="single" w:sz="8" w:space="0" w:color="auto"/>
              <w:right w:val="single" w:sz="8" w:space="0" w:color="auto"/>
            </w:tcBorders>
            <w:shd w:val="clear" w:color="auto" w:fill="auto"/>
            <w:hideMark/>
          </w:tcPr>
          <w:p w14:paraId="4FAA3D07"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t>Dưới 160 tỷ đồng</w:t>
            </w:r>
          </w:p>
        </w:tc>
      </w:tr>
      <w:tr w:rsidR="00F85420" w:rsidRPr="00F85420" w14:paraId="0C4EA4B4" w14:textId="77777777" w:rsidTr="00F85420">
        <w:trPr>
          <w:tblCellSpacing w:w="0" w:type="dxa"/>
        </w:trPr>
        <w:tc>
          <w:tcPr>
            <w:tcW w:w="300" w:type="pct"/>
            <w:tcBorders>
              <w:top w:val="nil"/>
              <w:left w:val="single" w:sz="8" w:space="0" w:color="auto"/>
              <w:bottom w:val="single" w:sz="8" w:space="0" w:color="auto"/>
              <w:right w:val="nil"/>
            </w:tcBorders>
            <w:shd w:val="clear" w:color="auto" w:fill="auto"/>
            <w:hideMark/>
          </w:tcPr>
          <w:p w14:paraId="3CD6E198"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III</w:t>
            </w:r>
          </w:p>
        </w:tc>
        <w:tc>
          <w:tcPr>
            <w:tcW w:w="3650" w:type="pct"/>
            <w:tcBorders>
              <w:top w:val="nil"/>
              <w:left w:val="single" w:sz="8" w:space="0" w:color="auto"/>
              <w:bottom w:val="single" w:sz="8" w:space="0" w:color="auto"/>
              <w:right w:val="nil"/>
            </w:tcBorders>
            <w:shd w:val="clear" w:color="auto" w:fill="auto"/>
            <w:hideMark/>
          </w:tcPr>
          <w:p w14:paraId="1A996015"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Dự án thuộc lĩnh vực quy định tại Mục IV Phần A</w:t>
            </w:r>
          </w:p>
        </w:tc>
        <w:tc>
          <w:tcPr>
            <w:tcW w:w="1000" w:type="pct"/>
            <w:tcBorders>
              <w:top w:val="nil"/>
              <w:left w:val="single" w:sz="8" w:space="0" w:color="auto"/>
              <w:bottom w:val="single" w:sz="8" w:space="0" w:color="auto"/>
              <w:right w:val="single" w:sz="8" w:space="0" w:color="auto"/>
            </w:tcBorders>
            <w:shd w:val="clear" w:color="auto" w:fill="auto"/>
            <w:hideMark/>
          </w:tcPr>
          <w:p w14:paraId="0907D3A2"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t>Dưới 120 tỷ đồng</w:t>
            </w:r>
          </w:p>
        </w:tc>
      </w:tr>
      <w:tr w:rsidR="00F85420" w:rsidRPr="00F85420" w14:paraId="2E34ABF5" w14:textId="77777777" w:rsidTr="00F85420">
        <w:trPr>
          <w:tblCellSpacing w:w="0" w:type="dxa"/>
        </w:trPr>
        <w:tc>
          <w:tcPr>
            <w:tcW w:w="300" w:type="pct"/>
            <w:tcBorders>
              <w:top w:val="nil"/>
              <w:left w:val="single" w:sz="8" w:space="0" w:color="auto"/>
              <w:bottom w:val="single" w:sz="8" w:space="0" w:color="auto"/>
              <w:right w:val="nil"/>
            </w:tcBorders>
            <w:shd w:val="clear" w:color="auto" w:fill="auto"/>
            <w:hideMark/>
          </w:tcPr>
          <w:p w14:paraId="40113F5E"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b/>
                <w:bCs/>
                <w:color w:val="000000"/>
                <w:sz w:val="18"/>
                <w:szCs w:val="18"/>
              </w:rPr>
              <w:t>IV</w:t>
            </w:r>
          </w:p>
        </w:tc>
        <w:tc>
          <w:tcPr>
            <w:tcW w:w="3650" w:type="pct"/>
            <w:tcBorders>
              <w:top w:val="nil"/>
              <w:left w:val="single" w:sz="8" w:space="0" w:color="auto"/>
              <w:bottom w:val="single" w:sz="8" w:space="0" w:color="auto"/>
              <w:right w:val="nil"/>
            </w:tcBorders>
            <w:shd w:val="clear" w:color="auto" w:fill="auto"/>
            <w:hideMark/>
          </w:tcPr>
          <w:p w14:paraId="70B8D8E7" w14:textId="77777777" w:rsidR="00F85420" w:rsidRPr="00F85420" w:rsidRDefault="00F85420" w:rsidP="00F85420">
            <w:pPr>
              <w:spacing w:before="120" w:after="120" w:line="234" w:lineRule="atLeast"/>
              <w:rPr>
                <w:rFonts w:ascii="Arial" w:eastAsia="Times New Roman" w:hAnsi="Arial" w:cs="Arial"/>
                <w:color w:val="000000"/>
                <w:sz w:val="18"/>
                <w:szCs w:val="18"/>
              </w:rPr>
            </w:pPr>
            <w:r w:rsidRPr="00F85420">
              <w:rPr>
                <w:rFonts w:ascii="Arial" w:eastAsia="Times New Roman" w:hAnsi="Arial" w:cs="Arial"/>
                <w:color w:val="000000"/>
                <w:sz w:val="18"/>
                <w:szCs w:val="18"/>
              </w:rPr>
              <w:t>Dự án thuộc lĩnh vực quy định tại Mục V Phần A</w:t>
            </w:r>
          </w:p>
        </w:tc>
        <w:tc>
          <w:tcPr>
            <w:tcW w:w="1000" w:type="pct"/>
            <w:tcBorders>
              <w:top w:val="nil"/>
              <w:left w:val="single" w:sz="8" w:space="0" w:color="auto"/>
              <w:bottom w:val="single" w:sz="8" w:space="0" w:color="auto"/>
              <w:right w:val="single" w:sz="8" w:space="0" w:color="auto"/>
            </w:tcBorders>
            <w:shd w:val="clear" w:color="auto" w:fill="auto"/>
            <w:hideMark/>
          </w:tcPr>
          <w:p w14:paraId="7E661B5D" w14:textId="77777777" w:rsidR="00F85420" w:rsidRPr="00F85420" w:rsidRDefault="00F85420" w:rsidP="00F85420">
            <w:pPr>
              <w:spacing w:before="120" w:after="120" w:line="234" w:lineRule="atLeast"/>
              <w:jc w:val="center"/>
              <w:rPr>
                <w:rFonts w:ascii="Arial" w:eastAsia="Times New Roman" w:hAnsi="Arial" w:cs="Arial"/>
                <w:color w:val="000000"/>
                <w:sz w:val="18"/>
                <w:szCs w:val="18"/>
              </w:rPr>
            </w:pPr>
            <w:r w:rsidRPr="00F85420">
              <w:rPr>
                <w:rFonts w:ascii="Arial" w:eastAsia="Times New Roman" w:hAnsi="Arial" w:cs="Arial"/>
                <w:color w:val="000000"/>
                <w:sz w:val="18"/>
                <w:szCs w:val="18"/>
              </w:rPr>
              <w:t>Dưới 90 tỷ đồng</w:t>
            </w:r>
          </w:p>
        </w:tc>
      </w:tr>
    </w:tbl>
    <w:p w14:paraId="112C12ED" w14:textId="77777777" w:rsidR="004A6F32" w:rsidRDefault="004A6F32"/>
    <w:sectPr w:rsidR="004A6F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420"/>
    <w:rsid w:val="004A6F32"/>
    <w:rsid w:val="00F854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3E25D"/>
  <w15:chartTrackingRefBased/>
  <w15:docId w15:val="{98C9C05F-ED0B-469D-BB53-586F94EBE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542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62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2257</Words>
  <Characters>12867</Characters>
  <Application>Microsoft Office Word</Application>
  <DocSecurity>0</DocSecurity>
  <Lines>107</Lines>
  <Paragraphs>30</Paragraphs>
  <ScaleCrop>false</ScaleCrop>
  <Company/>
  <LinksUpToDate>false</LinksUpToDate>
  <CharactersWithSpaces>15094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Kỳ Vĩnh TV DAPL</dc:creator>
  <cp:keywords/>
  <dc:description/>
  <cp:lastModifiedBy>Kỳ Vĩnh TV DAPL</cp:lastModifiedBy>
  <cp:revision>1</cp:revision>
  <dcterms:created xsi:type="dcterms:W3CDTF">2025-12-05T09:04:00Z</dcterms:created>
  <dcterms:modified xsi:type="dcterms:W3CDTF">2025-12-05T09:08:00Z</dcterms:modified>
</cp:coreProperties>
</file>