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  <w:r w:rsidRPr="006A304D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PHỤ LỤC</w:t>
      </w:r>
    </w:p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Nhận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diện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27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biểu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hiện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suy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thoái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vê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̀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tư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tưởng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chính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trị,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đạo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đức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</w:t>
      </w:r>
    </w:p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lối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sống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những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biểu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hiện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"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tư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̣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diễn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biến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", "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tư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̣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chuyển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hóa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" </w:t>
      </w:r>
    </w:p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trong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bộ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bằng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các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biểu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hiện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cụ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thể</w:t>
      </w:r>
      <w:proofErr w:type="spellEnd"/>
      <w:r w:rsidRPr="006A30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0"/>
        <w:gridCol w:w="1202"/>
        <w:gridCol w:w="1318"/>
      </w:tblGrid>
      <w:tr w:rsidR="006A304D" w:rsidRPr="006A304D" w:rsidTr="008D0743">
        <w:tc>
          <w:tcPr>
            <w:tcW w:w="630" w:type="dxa"/>
            <w:vMerge w:val="restart"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7200" w:type="dxa"/>
            <w:vMerge w:val="restart"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BIỂU HIỆN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LIÊN HỆ</w:t>
            </w:r>
          </w:p>
        </w:tc>
      </w:tr>
      <w:tr w:rsidR="006A304D" w:rsidRPr="006A304D" w:rsidTr="008D0743">
        <w:tc>
          <w:tcPr>
            <w:tcW w:w="630" w:type="dxa"/>
            <w:vMerge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0" w:type="dxa"/>
            <w:vMerge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</w:p>
        </w:tc>
        <w:tc>
          <w:tcPr>
            <w:tcW w:w="1318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</w:p>
        </w:tc>
      </w:tr>
      <w:tr w:rsidR="006A304D" w:rsidRPr="006A304D" w:rsidTr="008D0743">
        <w:trPr>
          <w:trHeight w:val="512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pacing w:val="-10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spacing w:val="-10"/>
                <w:kern w:val="0"/>
                <w:sz w:val="26"/>
                <w:szCs w:val="26"/>
                <w14:ligatures w14:val="none"/>
              </w:rPr>
              <w:t>BIỂU HIỆN SUY THOÁI VỀ TƯ TƯỞNG CHÍNH TRỊ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Phai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nhạt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dao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sút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niềm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Hoài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Mác-Lênin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Chí Minh.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03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Xa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12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lệch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lệch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tầm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Mác-Lênin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Chí Minh,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proofErr w:type="gram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proofErr w:type="gram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chấp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nghiêm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58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Sa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sút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Né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Trung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qua loa,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kém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tròn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Trong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giấu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giếm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dám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khẩn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kỷ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Trong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nang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né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1007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Lợi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nịnh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lấy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vu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khống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bôi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nhọ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71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Nói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Nói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đằng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nẻo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03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Nói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Nói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lúc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hưu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Duy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chịu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8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Tham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vọng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13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chấp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Kén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sẵn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sàng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xa,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bầu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”,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ngắn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mắt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bố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67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BIỂU HIỆN VỀ SUY THOÁI ĐẠO ĐỨC, LỐI SỐNG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kỷ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lo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vén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Ganh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ghét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kỵ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so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bì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nạnh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     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Vi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đoàn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Đoàn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xuôi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       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13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Cục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phái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kèn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cựa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.        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đoán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Mắc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",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háo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phô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trương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che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giấu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thổi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phồng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,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bóng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"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tuổi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Thích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ca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",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khen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thưởng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","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".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Quan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liêu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xa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quần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đôn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nắm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Thờ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ơ,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đòi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thoát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...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58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tràn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lan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Mua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sắm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Chi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quỹ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tùy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nguồn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lao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Tham ô,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nhũng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Lợi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cấu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doanh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trục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Lợi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túng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bao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che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nhũng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          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Thao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túng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chỗ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...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8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.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trục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rượu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chè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mê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đoan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Ủng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Sa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tệ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Vi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thuần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mỹ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BIỂU HIỆN "TỰ DIỄN BIẾN", "TỰ CHUYỂN HÓA" TRONG NỘI BỘ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Mác-Lênin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Chí Minh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512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Đòi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".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Đòi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"tam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",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".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hữu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728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Nói,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thổi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phồng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bịa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vu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tụ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Kích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Lợi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tin,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bôi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nhọ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uy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ngờ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tuyệt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vũ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đòi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"phi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"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an.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ninh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Chia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an; chia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rẽ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an.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Móc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cấu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thù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địch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mãn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lệch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xuyên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Thông tin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phiến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chiều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Việt Nam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vai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lôi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kéo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Cổ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súy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đoan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thổi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phồng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trái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Sáng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quảng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bá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lệch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bóp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méo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uy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tín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rPr>
          <w:trHeight w:val="485"/>
        </w:trPr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hẹp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hòi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đoan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A304D" w:rsidRPr="006A304D" w:rsidTr="008D0743">
        <w:tc>
          <w:tcPr>
            <w:tcW w:w="630" w:type="dxa"/>
            <w:shd w:val="clear" w:color="auto" w:fill="auto"/>
            <w:vAlign w:val="center"/>
          </w:tcPr>
          <w:p w:rsidR="006A304D" w:rsidRPr="006A304D" w:rsidRDefault="006A304D" w:rsidP="006A304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7200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Lợi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", "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",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rẽ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rẽ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04D">
              <w:rPr>
                <w:rFonts w:ascii="Times New Roman" w:eastAsia="Calibri" w:hAnsi="Times New Roman" w:cs="Times New Roman"/>
                <w:spacing w:val="-6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6A304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</w:tcPr>
          <w:p w:rsidR="006A304D" w:rsidRPr="006A304D" w:rsidRDefault="006A304D" w:rsidP="006A304D">
            <w:pPr>
              <w:spacing w:before="40" w:after="4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6A304D" w:rsidRPr="006A304D" w:rsidRDefault="006A304D" w:rsidP="006A3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</w:p>
    <w:p w:rsidR="006A304D" w:rsidRPr="006A304D" w:rsidRDefault="006A304D" w:rsidP="006A304D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hệ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suy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thoái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đạo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đức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lối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sống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, "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diễn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biến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", "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chuyển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hóa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"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khắc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phục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sửa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chữa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đỡ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giám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sát</w:t>
      </w:r>
      <w:proofErr w:type="spellEnd"/>
      <w:r w:rsidRPr="006A304D">
        <w:rPr>
          <w:rFonts w:ascii="Times New Roman" w:eastAsia="Times New Roman" w:hAnsi="Times New Roman" w:cs="Times New Roman"/>
          <w:kern w:val="0"/>
          <w14:ligatures w14:val="none"/>
        </w:rPr>
        <w:t>./.</w:t>
      </w:r>
    </w:p>
    <w:p w:rsidR="006A304D" w:rsidRPr="006A304D" w:rsidRDefault="006A304D" w:rsidP="006A30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B417D" w:rsidRDefault="005B417D"/>
    <w:sectPr w:rsidR="005B417D" w:rsidSect="006A304D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7" w:h="16840" w:code="9"/>
      <w:pgMar w:top="1080" w:right="850" w:bottom="1080" w:left="1728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D4E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4D4E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E45AAC" w:rsidRDefault="00000000" w:rsidP="004D4EF6">
    <w:pPr>
      <w:pStyle w:val="Footer"/>
      <w:ind w:right="360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rPr>
        <w:sz w:val="10"/>
      </w:rPr>
    </w:pPr>
  </w:p>
  <w:p w:rsidR="00000000" w:rsidRPr="00E45AAC" w:rsidRDefault="00000000">
    <w:pPr>
      <w:pStyle w:val="Footer"/>
      <w:rPr>
        <w:sz w:val="1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D4E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D4E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4D"/>
    <w:rsid w:val="004955DB"/>
    <w:rsid w:val="005B417D"/>
    <w:rsid w:val="006A304D"/>
    <w:rsid w:val="0071134A"/>
    <w:rsid w:val="00E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B94A-1700-4682-A999-788911A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0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A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04D"/>
  </w:style>
  <w:style w:type="paragraph" w:styleId="Header">
    <w:name w:val="header"/>
    <w:basedOn w:val="Normal"/>
    <w:link w:val="HeaderChar"/>
    <w:uiPriority w:val="99"/>
    <w:semiHidden/>
    <w:unhideWhenUsed/>
    <w:rsid w:val="006A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04D"/>
  </w:style>
  <w:style w:type="character" w:styleId="PageNumber">
    <w:name w:val="page number"/>
    <w:basedOn w:val="DefaultParagraphFont"/>
    <w:rsid w:val="006A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2024-12-12T01:34:00Z</dcterms:created>
  <dcterms:modified xsi:type="dcterms:W3CDTF">2024-12-12T01:34:00Z</dcterms:modified>
</cp:coreProperties>
</file>