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bookmarkStart w:id="0" w:name="chuong_pl2"/>
      <w:proofErr w:type="spellStart"/>
      <w:r>
        <w:rPr>
          <w:b/>
          <w:bCs/>
          <w:color w:val="000000"/>
        </w:rPr>
        <w:t>Phụ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lục</w:t>
      </w:r>
      <w:proofErr w:type="spellEnd"/>
      <w:r>
        <w:rPr>
          <w:b/>
          <w:bCs/>
          <w:color w:val="000000"/>
        </w:rPr>
        <w:t xml:space="preserve"> 3</w:t>
      </w:r>
      <w:bookmarkEnd w:id="0"/>
    </w:p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bookmarkStart w:id="1" w:name="chuong_pl2_name"/>
      <w:proofErr w:type="spellStart"/>
      <w:r>
        <w:rPr>
          <w:b/>
          <w:bCs/>
          <w:color w:val="000000"/>
        </w:rPr>
        <w:t>Mẫu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Chứng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làm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nguyên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sản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xuất</w:t>
      </w:r>
      <w:bookmarkEnd w:id="1"/>
      <w:proofErr w:type="spellEnd"/>
    </w:p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r>
        <w:rPr>
          <w:b/>
          <w:bCs/>
          <w:color w:val="000000"/>
        </w:rPr>
        <w:t>TÊN TỔ CHỨC GIÁM ĐỊNH ĐƯỢC CHỈ ĐỊNH</w:t>
      </w:r>
    </w:p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, fax, e-mail, </w:t>
      </w:r>
      <w:proofErr w:type="gramStart"/>
      <w:r>
        <w:rPr>
          <w:color w:val="000000"/>
        </w:rPr>
        <w:t>website,...</w:t>
      </w:r>
      <w:proofErr w:type="gramEnd"/>
      <w:r>
        <w:rPr>
          <w:color w:val="00000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642"/>
      </w:tblGrid>
      <w:tr w:rsidR="00D96DCA" w:rsidTr="00CC5AD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CA" w:rsidRPr="009004B6" w:rsidRDefault="00D96DCA" w:rsidP="00CC5ADF">
            <w:pPr>
              <w:pStyle w:val="NormalWeb"/>
              <w:spacing w:before="120"/>
              <w:jc w:val="center"/>
            </w:pPr>
            <w:proofErr w:type="spellStart"/>
            <w:r w:rsidRPr="009004B6">
              <w:rPr>
                <w:color w:val="000000"/>
              </w:rPr>
              <w:t>Số</w:t>
            </w:r>
            <w:proofErr w:type="spellEnd"/>
            <w:r w:rsidRPr="009004B6">
              <w:rPr>
                <w:color w:val="000000"/>
              </w:rPr>
              <w:t xml:space="preserve"> ……/…………</w:t>
            </w:r>
            <w:r w:rsidRPr="009004B6">
              <w:t xml:space="preserve"> 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CA" w:rsidRPr="009004B6" w:rsidRDefault="00D96DCA" w:rsidP="00CC5ADF">
            <w:pPr>
              <w:pStyle w:val="NormalWeb"/>
              <w:spacing w:before="120"/>
              <w:jc w:val="right"/>
            </w:pPr>
            <w:r w:rsidRPr="009004B6">
              <w:rPr>
                <w:i/>
                <w:iCs/>
                <w:color w:val="000000"/>
              </w:rPr>
              <w:t>(</w:t>
            </w:r>
            <w:proofErr w:type="spellStart"/>
            <w:r w:rsidRPr="009004B6">
              <w:rPr>
                <w:i/>
                <w:iCs/>
                <w:color w:val="000000"/>
              </w:rPr>
              <w:t>Địa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danh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), </w:t>
            </w:r>
            <w:proofErr w:type="spellStart"/>
            <w:r w:rsidRPr="009004B6">
              <w:rPr>
                <w:i/>
                <w:iCs/>
                <w:color w:val="000000"/>
              </w:rPr>
              <w:t>ngày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.... </w:t>
            </w:r>
            <w:proofErr w:type="spellStart"/>
            <w:r w:rsidRPr="009004B6">
              <w:rPr>
                <w:i/>
                <w:iCs/>
                <w:color w:val="000000"/>
              </w:rPr>
              <w:t>tháng</w:t>
            </w:r>
            <w:proofErr w:type="spellEnd"/>
            <w:proofErr w:type="gramStart"/>
            <w:r w:rsidRPr="009004B6">
              <w:rPr>
                <w:i/>
                <w:iCs/>
                <w:color w:val="000000"/>
              </w:rPr>
              <w:t>....</w:t>
            </w:r>
            <w:proofErr w:type="spellStart"/>
            <w:r w:rsidRPr="009004B6">
              <w:rPr>
                <w:i/>
                <w:iCs/>
                <w:color w:val="000000"/>
              </w:rPr>
              <w:t>năm</w:t>
            </w:r>
            <w:proofErr w:type="spellEnd"/>
            <w:proofErr w:type="gramEnd"/>
            <w:r w:rsidRPr="009004B6">
              <w:rPr>
                <w:i/>
                <w:iCs/>
                <w:color w:val="000000"/>
              </w:rPr>
              <w:t xml:space="preserve"> ……</w:t>
            </w:r>
          </w:p>
        </w:tc>
      </w:tr>
    </w:tbl>
    <w:p w:rsidR="00D96DCA" w:rsidRPr="009004B6" w:rsidRDefault="00D96DCA" w:rsidP="00D96DCA">
      <w:pPr>
        <w:pStyle w:val="NormalWeb"/>
        <w:autoSpaceDE w:val="0"/>
        <w:autoSpaceDN w:val="0"/>
        <w:spacing w:before="120"/>
        <w:jc w:val="center"/>
      </w:pPr>
      <w:r>
        <w:rPr>
          <w:color w:val="000000"/>
        </w:rPr>
        <w:t> </w:t>
      </w:r>
    </w:p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r>
        <w:rPr>
          <w:b/>
          <w:bCs/>
          <w:color w:val="000000"/>
        </w:rPr>
        <w:t>CHỨNG THƯ GIÁM ĐỊNH CHẤT LƯỢNG PHẾ LIỆU NHẬP KHẨU</w:t>
      </w:r>
    </w:p>
    <w:p w:rsidR="00D96DCA" w:rsidRDefault="00D96DCA" w:rsidP="00D96DCA">
      <w:pPr>
        <w:pStyle w:val="NormalWeb"/>
        <w:autoSpaceDE w:val="0"/>
        <w:autoSpaceDN w:val="0"/>
        <w:spacing w:before="120"/>
        <w:jc w:val="center"/>
      </w:pPr>
      <w:r>
        <w:rPr>
          <w:i/>
          <w:iCs/>
          <w:color w:val="000000"/>
        </w:rPr>
        <w:t> (</w:t>
      </w:r>
      <w:proofErr w:type="spellStart"/>
      <w:r>
        <w:rPr>
          <w:i/>
          <w:iCs/>
          <w:color w:val="000000"/>
        </w:rPr>
        <w:t>Chứng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định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được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hiện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đầy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đủ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các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thông</w:t>
      </w:r>
      <w:proofErr w:type="spellEnd"/>
      <w:r>
        <w:rPr>
          <w:i/>
          <w:iCs/>
          <w:color w:val="000000"/>
        </w:rPr>
        <w:t xml:space="preserve"> tin </w:t>
      </w:r>
      <w:proofErr w:type="spellStart"/>
      <w:r>
        <w:rPr>
          <w:i/>
          <w:iCs/>
          <w:color w:val="000000"/>
        </w:rPr>
        <w:t>liên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đến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tổ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chức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nhập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khẩu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lô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hàng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liệu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nhập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khẩu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và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kết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định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lô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hàng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liệu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nhập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khẩu</w:t>
      </w:r>
      <w:proofErr w:type="spellEnd"/>
      <w:r>
        <w:rPr>
          <w:i/>
          <w:iCs/>
          <w:color w:val="000000"/>
        </w:rPr>
        <w:t xml:space="preserve">, bao </w:t>
      </w:r>
      <w:proofErr w:type="spellStart"/>
      <w:r>
        <w:rPr>
          <w:i/>
          <w:iCs/>
          <w:color w:val="000000"/>
        </w:rPr>
        <w:t>gồm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các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thông</w:t>
      </w:r>
      <w:proofErr w:type="spellEnd"/>
      <w:r>
        <w:rPr>
          <w:i/>
          <w:iCs/>
          <w:color w:val="000000"/>
        </w:rPr>
        <w:t xml:space="preserve"> tin </w:t>
      </w:r>
      <w:proofErr w:type="spellStart"/>
      <w:r>
        <w:rPr>
          <w:i/>
          <w:iCs/>
          <w:color w:val="000000"/>
        </w:rPr>
        <w:t>chính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dưới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đây</w:t>
      </w:r>
      <w:proofErr w:type="spellEnd"/>
      <w:r>
        <w:rPr>
          <w:i/>
          <w:iCs/>
          <w:color w:val="000000"/>
        </w:rPr>
        <w:t>)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Tổ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chức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nhân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hàng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>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: ………………………………………….……………………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>: …………………………………………………………………….………….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…….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do 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>).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>: 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…………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……………………………………………………...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 ……………………………………………….……………………</w:t>
      </w:r>
      <w:proofErr w:type="gramStart"/>
      <w:r>
        <w:rPr>
          <w:color w:val="000000"/>
        </w:rPr>
        <w:t>…..</w:t>
      </w:r>
      <w:proofErr w:type="gramEnd"/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Danh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 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……………………….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 ……………………………………………….…………………………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 …………………………………………….……………………………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: 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………………………….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HS): …………………………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>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Nội</w:t>
      </w:r>
      <w:proofErr w:type="spellEnd"/>
      <w:r>
        <w:rPr>
          <w:b/>
          <w:bCs/>
          <w:color w:val="000000"/>
        </w:rPr>
        <w:t xml:space="preserve"> dung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QCVN 31:2024/BTNMT - Quy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thép</w:t>
      </w:r>
      <w:proofErr w:type="spellEnd"/>
      <w:r>
        <w:rPr>
          <w:color w:val="000000"/>
        </w:rPr>
        <w:t xml:space="preserve">, gang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>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3. Phương </w:t>
      </w:r>
      <w:proofErr w:type="spellStart"/>
      <w:r>
        <w:rPr>
          <w:b/>
          <w:bCs/>
          <w:color w:val="000000"/>
        </w:rPr>
        <w:t>pháp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>).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4. </w:t>
      </w:r>
      <w:proofErr w:type="spellStart"/>
      <w:r>
        <w:rPr>
          <w:b/>
          <w:bCs/>
          <w:color w:val="000000"/>
        </w:rPr>
        <w:t>Kết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4.1. </w:t>
      </w:r>
      <w:proofErr w:type="spellStart"/>
      <w:r>
        <w:rPr>
          <w:color w:val="000000"/>
        </w:rPr>
        <w:t>Tỷ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2.1.4 QCVN 31:2024/BTNMT):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Danh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20%: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20%: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i/>
          <w:iCs/>
          <w:color w:val="000000"/>
        </w:rPr>
        <w:t xml:space="preserve">(Trường </w:t>
      </w:r>
      <w:proofErr w:type="spellStart"/>
      <w:r>
        <w:rPr>
          <w:i/>
          <w:iCs/>
          <w:color w:val="000000"/>
        </w:rPr>
        <w:t>hợp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cần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cụ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thể</w:t>
      </w:r>
      <w:proofErr w:type="spellEnd"/>
      <w:r>
        <w:rPr>
          <w:i/>
          <w:iCs/>
          <w:color w:val="000000"/>
        </w:rPr>
        <w:t>)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4.2.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2.4 QCVN 31:2024/BTNMT):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>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i/>
          <w:iCs/>
          <w:color w:val="000000"/>
        </w:rPr>
        <w:t xml:space="preserve">(Trường </w:t>
      </w:r>
      <w:proofErr w:type="spellStart"/>
      <w:r>
        <w:rPr>
          <w:i/>
          <w:iCs/>
          <w:color w:val="000000"/>
        </w:rPr>
        <w:t>hợp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nghiệm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cần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cụ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kết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đo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nghiệm</w:t>
      </w:r>
      <w:proofErr w:type="spellEnd"/>
      <w:r>
        <w:rPr>
          <w:i/>
          <w:iCs/>
          <w:color w:val="000000"/>
        </w:rPr>
        <w:t>)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>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lastRenderedPageBreak/>
        <w:t xml:space="preserve">4.3. </w:t>
      </w:r>
      <w:proofErr w:type="spellStart"/>
      <w:r>
        <w:rPr>
          <w:color w:val="000000"/>
        </w:rPr>
        <w:t>Tỷ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2.4.3 QCVN 31:2024/BTNMT):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1%: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1%: □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i/>
          <w:iCs/>
          <w:color w:val="000000"/>
        </w:rPr>
        <w:t xml:space="preserve">(Trường </w:t>
      </w:r>
      <w:proofErr w:type="spellStart"/>
      <w:r>
        <w:rPr>
          <w:i/>
          <w:iCs/>
          <w:color w:val="000000"/>
        </w:rPr>
        <w:t>hợp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cần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cụ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thể</w:t>
      </w:r>
      <w:proofErr w:type="spellEnd"/>
      <w:r>
        <w:rPr>
          <w:i/>
          <w:iCs/>
          <w:color w:val="000000"/>
        </w:rPr>
        <w:t>)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4.4.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2 QCVN 31:2024/BTNMT: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): ……………………………………………………………………………….…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5. </w:t>
      </w:r>
      <w:proofErr w:type="spellStart"/>
      <w:r>
        <w:rPr>
          <w:b/>
          <w:bCs/>
          <w:color w:val="000000"/>
        </w:rPr>
        <w:t>Kết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luận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hàng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: </w:t>
      </w:r>
      <w:r>
        <w:rPr>
          <w:color w:val="000000"/>
        </w:rPr>
        <w:t>(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lô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hàng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liệu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nhập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khẩu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có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 hay </w:t>
      </w:r>
      <w:proofErr w:type="spellStart"/>
      <w:r>
        <w:rPr>
          <w:i/>
          <w:iCs/>
          <w:color w:val="000000"/>
        </w:rPr>
        <w:t>không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yêu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cầu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của</w:t>
      </w:r>
      <w:proofErr w:type="spellEnd"/>
      <w:r>
        <w:rPr>
          <w:i/>
          <w:iCs/>
          <w:color w:val="000000"/>
        </w:rPr>
        <w:t xml:space="preserve"> QCVN 31:2024/BTNMT</w:t>
      </w:r>
      <w:r>
        <w:rPr>
          <w:color w:val="000000"/>
        </w:rPr>
        <w:t>).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i/>
          <w:iCs/>
          <w:color w:val="000000"/>
        </w:rPr>
        <w:t xml:space="preserve">Tài </w:t>
      </w:r>
      <w:proofErr w:type="spellStart"/>
      <w:r>
        <w:rPr>
          <w:i/>
          <w:iCs/>
          <w:color w:val="000000"/>
        </w:rPr>
        <w:t>liệu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gửi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kèm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Chứng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định</w:t>
      </w:r>
      <w:proofErr w:type="spellEnd"/>
      <w:r>
        <w:rPr>
          <w:i/>
          <w:iCs/>
          <w:color w:val="000000"/>
        </w:rPr>
        <w:t xml:space="preserve"> bao </w:t>
      </w:r>
      <w:proofErr w:type="spellStart"/>
      <w:r>
        <w:rPr>
          <w:i/>
          <w:iCs/>
          <w:color w:val="000000"/>
        </w:rPr>
        <w:t>gồm</w:t>
      </w:r>
      <w:proofErr w:type="spellEnd"/>
      <w:r>
        <w:rPr>
          <w:i/>
          <w:iCs/>
          <w:color w:val="000000"/>
        </w:rPr>
        <w:t xml:space="preserve">: (1) </w:t>
      </w:r>
      <w:proofErr w:type="spellStart"/>
      <w:r>
        <w:rPr>
          <w:i/>
          <w:iCs/>
          <w:color w:val="000000"/>
        </w:rPr>
        <w:t>Biên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bản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kiểm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 xml:space="preserve">; (2) </w:t>
      </w:r>
      <w:proofErr w:type="spellStart"/>
      <w:r>
        <w:rPr>
          <w:i/>
          <w:iCs/>
          <w:color w:val="000000"/>
        </w:rPr>
        <w:t>Ảnh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chụp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các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kiểm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vị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; (3) </w:t>
      </w:r>
      <w:proofErr w:type="spellStart"/>
      <w:r>
        <w:rPr>
          <w:i/>
          <w:iCs/>
          <w:color w:val="000000"/>
        </w:rPr>
        <w:t>Phiếu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kết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quả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đo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nghiệm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của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các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đại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diện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trường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hợp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thiết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nhanh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kiểm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hoạt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độ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phóng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xạ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hoặc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nghiệm</w:t>
      </w:r>
      <w:proofErr w:type="spellEnd"/>
      <w:r>
        <w:rPr>
          <w:i/>
          <w:iCs/>
          <w:color w:val="000000"/>
        </w:rPr>
        <w:t>).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color w:val="000000"/>
        </w:rPr>
        <w:t>... (</w:t>
      </w:r>
      <w:proofErr w:type="spellStart"/>
      <w:r>
        <w:rPr>
          <w:i/>
          <w:iCs/>
          <w:color w:val="000000"/>
        </w:rPr>
        <w:t>Tổ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chức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định</w:t>
      </w:r>
      <w:proofErr w:type="spellEnd"/>
      <w:r>
        <w:rPr>
          <w:color w:val="000000"/>
        </w:rPr>
        <w:t xml:space="preserve">) ...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QCVN 31:2024/BTNMT - Quy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thép</w:t>
      </w:r>
      <w:proofErr w:type="spellEnd"/>
      <w:r>
        <w:rPr>
          <w:color w:val="000000"/>
        </w:rPr>
        <w:t xml:space="preserve">, gang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. Tài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./.</w:t>
      </w:r>
    </w:p>
    <w:p w:rsidR="00D96DCA" w:rsidRDefault="00D96DCA" w:rsidP="00D96DCA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96DCA" w:rsidTr="00CC5AD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CA" w:rsidRPr="009004B6" w:rsidRDefault="00D96DCA" w:rsidP="00CC5ADF">
            <w:pPr>
              <w:pStyle w:val="NormalWeb"/>
              <w:spacing w:before="120"/>
              <w:jc w:val="center"/>
            </w:pPr>
            <w:r w:rsidRPr="009004B6">
              <w:rPr>
                <w:b/>
                <w:bCs/>
                <w:color w:val="000000"/>
              </w:rPr>
              <w:t>GIÁM ĐỊNH VIÊN</w:t>
            </w:r>
            <w:r w:rsidRPr="009004B6">
              <w:rPr>
                <w:b/>
                <w:bCs/>
                <w:color w:val="000000"/>
              </w:rPr>
              <w:br/>
            </w:r>
            <w:r w:rsidRPr="009004B6">
              <w:rPr>
                <w:i/>
                <w:iCs/>
                <w:color w:val="000000"/>
              </w:rPr>
              <w:t>(</w:t>
            </w:r>
            <w:proofErr w:type="spellStart"/>
            <w:r w:rsidRPr="009004B6">
              <w:rPr>
                <w:i/>
                <w:iCs/>
                <w:color w:val="000000"/>
              </w:rPr>
              <w:t>Ký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ghi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rõ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họ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tên</w:t>
            </w:r>
            <w:proofErr w:type="spellEnd"/>
            <w:r w:rsidRPr="009004B6">
              <w:rPr>
                <w:i/>
                <w:iCs/>
                <w:color w:val="000000"/>
              </w:rPr>
              <w:t>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CA" w:rsidRPr="009004B6" w:rsidRDefault="00D96DCA" w:rsidP="00CC5ADF">
            <w:pPr>
              <w:pStyle w:val="NormalWeb"/>
              <w:spacing w:before="120"/>
              <w:jc w:val="center"/>
            </w:pPr>
            <w:r w:rsidRPr="009004B6">
              <w:rPr>
                <w:b/>
                <w:bCs/>
                <w:color w:val="000000"/>
              </w:rPr>
              <w:t>CƠ QUAN GIÁM ĐỊNH</w:t>
            </w:r>
            <w:r w:rsidRPr="009004B6">
              <w:rPr>
                <w:b/>
                <w:bCs/>
                <w:color w:val="000000"/>
              </w:rPr>
              <w:br/>
            </w:r>
            <w:r w:rsidRPr="009004B6">
              <w:rPr>
                <w:i/>
                <w:iCs/>
                <w:color w:val="000000"/>
              </w:rPr>
              <w:t>(</w:t>
            </w:r>
            <w:proofErr w:type="spellStart"/>
            <w:r w:rsidRPr="009004B6">
              <w:rPr>
                <w:i/>
                <w:iCs/>
                <w:color w:val="000000"/>
              </w:rPr>
              <w:t>Ký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ghi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rõ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họ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tên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004B6">
              <w:rPr>
                <w:i/>
                <w:iCs/>
                <w:color w:val="000000"/>
              </w:rPr>
              <w:t>đóng</w:t>
            </w:r>
            <w:proofErr w:type="spellEnd"/>
            <w:r w:rsidRPr="009004B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04B6">
              <w:rPr>
                <w:i/>
                <w:iCs/>
                <w:color w:val="000000"/>
              </w:rPr>
              <w:t>dấu</w:t>
            </w:r>
            <w:proofErr w:type="spellEnd"/>
            <w:r w:rsidRPr="009004B6">
              <w:rPr>
                <w:i/>
                <w:iCs/>
                <w:color w:val="000000"/>
              </w:rPr>
              <w:t>)</w:t>
            </w:r>
          </w:p>
        </w:tc>
      </w:tr>
    </w:tbl>
    <w:p w:rsidR="00D96DCA" w:rsidRDefault="00D96DCA" w:rsidP="00D96DCA"/>
    <w:p w:rsidR="005B417D" w:rsidRDefault="005B417D"/>
    <w:sectPr w:rsidR="005B417D" w:rsidSect="00D96DCA">
      <w:pgSz w:w="11906" w:h="16838"/>
      <w:pgMar w:top="567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CA"/>
    <w:rsid w:val="005B417D"/>
    <w:rsid w:val="0071134A"/>
    <w:rsid w:val="007D1170"/>
    <w:rsid w:val="00D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FD26F0-CEAF-4334-AB91-A62AE7AA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DC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D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2025-01-16T02:13:00Z</dcterms:created>
  <dcterms:modified xsi:type="dcterms:W3CDTF">2025-01-16T02:15:00Z</dcterms:modified>
</cp:coreProperties>
</file>