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szCs w:val="26"/>
        </w:rPr>
      </w:pPr>
      <w:r>
        <w:rPr>
          <w:b/>
          <w:bCs/>
          <w:szCs w:val="26"/>
        </w:rPr>
        <w:t>Mẫu số 02</w:t>
      </w:r>
    </w:p>
    <w:p>
      <w:pPr>
        <w:pStyle w:val="Normal"/>
        <w:jc w:val="center"/>
        <w:rPr>
          <w:b/>
          <w:bCs/>
          <w:szCs w:val="26"/>
        </w:rPr>
      </w:pPr>
      <w:r>
        <w:rPr>
          <w:b/>
          <w:bCs/>
          <w:szCs w:val="26"/>
        </w:rPr>
        <w:t>BÁO CÁO KINH TẾ - KỸ THUẬT ĐẦU TƯ XÂY DỰNG DỰ ÁN PPP</w:t>
      </w:r>
    </w:p>
    <w:p>
      <w:pPr>
        <w:pStyle w:val="Normal"/>
        <w:jc w:val="center"/>
        <w:rPr>
          <w:szCs w:val="26"/>
          <w:vertAlign w:val="superscript"/>
        </w:rPr>
      </w:pPr>
      <w:r>
        <w:rPr>
          <w:szCs w:val="26"/>
          <w:vertAlign w:val="superscript"/>
        </w:rPr>
        <w:t>________</w:t>
      </w:r>
    </w:p>
    <w:p>
      <w:pPr>
        <w:pStyle w:val="Normal"/>
        <w:jc w:val="center"/>
        <w:rPr>
          <w:szCs w:val="26"/>
        </w:rPr>
      </w:pPr>
      <w:r>
        <w:rPr>
          <w:szCs w:val="26"/>
        </w:rPr>
      </w:r>
    </w:p>
    <w:p>
      <w:pPr>
        <w:pStyle w:val="Normal"/>
        <w:spacing w:before="0" w:after="120"/>
        <w:ind w:firstLine="720"/>
        <w:jc w:val="both"/>
        <w:rPr>
          <w:szCs w:val="26"/>
        </w:rPr>
      </w:pPr>
      <w:r>
        <w:rPr>
          <w:szCs w:val="26"/>
        </w:rPr>
        <w:t>Báo cáo kinh tế - kỹ thuật đầu tư xây dựng dự án PPP (BCKTKT) là tài liệu trình bày các nội dung nghiên cứu về sự cần thiết, tính khả thi và hiệu quả của dự án PPP. Phụ lục này hướng dẫn các nội dung được trình bày trong BCKTKT để cấp có thẩm quyền phê duyệt dự án.</w:t>
      </w:r>
    </w:p>
    <w:p>
      <w:pPr>
        <w:pStyle w:val="Normal"/>
        <w:spacing w:before="0" w:after="120"/>
        <w:ind w:firstLine="720"/>
        <w:jc w:val="both"/>
        <w:rPr>
          <w:szCs w:val="26"/>
        </w:rPr>
      </w:pPr>
      <w:r>
        <w:rPr>
          <w:szCs w:val="26"/>
        </w:rPr>
        <w:t>Căn cứ tính chất, quy mô, lĩnh vực của dự án, đơn vị chuẩn bị dự án hoặc nhà đầu tư lập BCKTKT theo các nội dung được hướng dẫn dưới đây. Trường hợp áp dụng Mẫu này để trình bày các nội dung điều chỉnh BCKTKT, đơn vị chuẩn bị dự án hoặc nhà đầu tư sắp xếp, lựa chọn các nội dung phù hợp.</w:t>
      </w:r>
    </w:p>
    <w:p>
      <w:pPr>
        <w:pStyle w:val="Normal"/>
        <w:spacing w:before="0" w:after="120"/>
        <w:ind w:firstLine="720"/>
        <w:jc w:val="both"/>
        <w:rPr>
          <w:szCs w:val="26"/>
        </w:rPr>
      </w:pPr>
      <w:r>
        <w:rPr>
          <w:b/>
          <w:bCs/>
          <w:szCs w:val="26"/>
        </w:rPr>
        <w:t>A. THÔNG TIN CƠ BẢN CỦA DỰ ÁN</w:t>
      </w:r>
    </w:p>
    <w:p>
      <w:pPr>
        <w:pStyle w:val="Normal"/>
        <w:spacing w:before="0" w:after="120"/>
        <w:ind w:firstLine="720"/>
        <w:jc w:val="both"/>
        <w:rPr>
          <w:szCs w:val="26"/>
        </w:rPr>
      </w:pPr>
      <w:r>
        <w:rPr>
          <w:szCs w:val="26"/>
        </w:rPr>
        <w:t>Tóm tắt và thuyết minh thông tin cơ bản của dự án, bao gồm:</w:t>
      </w:r>
    </w:p>
    <w:p>
      <w:pPr>
        <w:pStyle w:val="Normal"/>
        <w:spacing w:before="0" w:after="120"/>
        <w:ind w:firstLine="720"/>
        <w:jc w:val="both"/>
        <w:rPr>
          <w:szCs w:val="26"/>
        </w:rPr>
      </w:pPr>
      <w:r>
        <w:rPr>
          <w:szCs w:val="26"/>
        </w:rPr>
        <w:t>1. Tên dự án.</w:t>
      </w:r>
    </w:p>
    <w:p>
      <w:pPr>
        <w:pStyle w:val="Normal"/>
        <w:spacing w:before="0" w:after="120"/>
        <w:ind w:firstLine="720"/>
        <w:jc w:val="both"/>
        <w:rPr>
          <w:szCs w:val="26"/>
        </w:rPr>
      </w:pPr>
      <w:r>
        <w:rPr>
          <w:szCs w:val="26"/>
        </w:rPr>
        <w:t>2. Tên cơ quan có thẩm quyền, cơ quan ký kết hợp đồng.</w:t>
      </w:r>
    </w:p>
    <w:p>
      <w:pPr>
        <w:pStyle w:val="Normal"/>
        <w:spacing w:before="0" w:after="120"/>
        <w:ind w:firstLine="720"/>
        <w:jc w:val="both"/>
        <w:rPr>
          <w:szCs w:val="26"/>
        </w:rPr>
      </w:pPr>
      <w:r>
        <w:rPr>
          <w:szCs w:val="26"/>
        </w:rPr>
        <w:t>3. Tên đơn vị chuẩn bị dự án hoặc nhà đầu tư lập báo cáo kinh tế - kỹ thuật đầu tư xây dựng; tên cơ quan, đơn vị tiếp nhận hồ sơ của nhà đầu tư.</w:t>
      </w:r>
    </w:p>
    <w:p>
      <w:pPr>
        <w:pStyle w:val="Normal"/>
        <w:spacing w:before="0" w:after="120"/>
        <w:ind w:firstLine="720"/>
        <w:jc w:val="both"/>
        <w:rPr>
          <w:szCs w:val="26"/>
        </w:rPr>
      </w:pPr>
      <w:r>
        <w:rPr>
          <w:szCs w:val="26"/>
        </w:rPr>
        <w:t>4. Tổng mức đầu tư.</w:t>
      </w:r>
    </w:p>
    <w:p>
      <w:pPr>
        <w:pStyle w:val="Normal"/>
        <w:spacing w:before="0" w:after="120"/>
        <w:ind w:firstLine="720"/>
        <w:jc w:val="both"/>
        <w:rPr>
          <w:szCs w:val="26"/>
        </w:rPr>
      </w:pPr>
      <w:r>
        <w:rPr>
          <w:szCs w:val="26"/>
        </w:rPr>
        <w:t>5. Vốn nhà nước trong dự án PPP (nếu có), giá trị tối thiểu và thời hạn nộp ngân sách nhà nước (đối với dự án áp dụng loại hợp đồng O&amp;M).</w:t>
      </w:r>
    </w:p>
    <w:p>
      <w:pPr>
        <w:pStyle w:val="Normal"/>
        <w:spacing w:before="0" w:after="120"/>
        <w:ind w:firstLine="720"/>
        <w:jc w:val="both"/>
        <w:rPr>
          <w:szCs w:val="26"/>
        </w:rPr>
      </w:pPr>
      <w:r>
        <w:rPr>
          <w:szCs w:val="26"/>
        </w:rPr>
        <w:t>6. Loại hợp đồng dự án.</w:t>
      </w:r>
    </w:p>
    <w:p>
      <w:pPr>
        <w:pStyle w:val="Normal"/>
        <w:spacing w:before="0" w:after="120"/>
        <w:ind w:firstLine="720"/>
        <w:jc w:val="both"/>
        <w:rPr>
          <w:szCs w:val="26"/>
        </w:rPr>
      </w:pPr>
      <w:r>
        <w:rPr>
          <w:szCs w:val="26"/>
        </w:rPr>
        <w:t>7. Ưu đãi và bảo đảm đầu tư</w:t>
      </w:r>
    </w:p>
    <w:p>
      <w:pPr>
        <w:pStyle w:val="Normal"/>
        <w:spacing w:before="0" w:after="120"/>
        <w:ind w:firstLine="720"/>
        <w:jc w:val="both"/>
        <w:rPr>
          <w:szCs w:val="26"/>
        </w:rPr>
      </w:pPr>
      <w:r>
        <w:rPr>
          <w:szCs w:val="26"/>
        </w:rPr>
        <w:t>8. Tên bên mời thầu, hình thức lựa chọn nhà đầu tư và thời gian tổ chức lựa chọn nhà đầu tư</w:t>
      </w:r>
    </w:p>
    <w:p>
      <w:pPr>
        <w:pStyle w:val="Normal"/>
        <w:spacing w:before="0" w:after="120"/>
        <w:ind w:firstLine="720"/>
        <w:jc w:val="both"/>
        <w:rPr>
          <w:szCs w:val="26"/>
        </w:rPr>
      </w:pPr>
      <w:r>
        <w:rPr>
          <w:b/>
          <w:bCs/>
          <w:szCs w:val="26"/>
        </w:rPr>
        <w:t>B. CĂN CỨ LẬP BÁO CÁO KINH TẾ - KỸ THUẬT ĐẦU TƯ XÂY DỰNG</w:t>
      </w:r>
    </w:p>
    <w:p>
      <w:pPr>
        <w:pStyle w:val="Normal"/>
        <w:spacing w:before="0" w:after="120"/>
        <w:ind w:firstLine="720"/>
        <w:jc w:val="both"/>
        <w:rPr>
          <w:szCs w:val="26"/>
        </w:rPr>
      </w:pPr>
      <w:r>
        <w:rPr>
          <w:szCs w:val="26"/>
        </w:rPr>
        <w:t>Liệt kê các văn bản pháp lý chủ yếu làm căn cứ lập BCKTKT, bao gồm:</w:t>
      </w:r>
    </w:p>
    <w:p>
      <w:pPr>
        <w:pStyle w:val="Normal"/>
        <w:spacing w:before="0" w:after="120"/>
        <w:ind w:firstLine="720"/>
        <w:jc w:val="both"/>
        <w:rPr>
          <w:szCs w:val="26"/>
        </w:rPr>
      </w:pPr>
      <w:r>
        <w:rPr>
          <w:szCs w:val="26"/>
        </w:rPr>
        <w:t>1. Các Luật, Nghị định và Thông tư hướng dẫn liên quan đến việc triển khai dự án theo phương thức PPP.</w:t>
      </w:r>
    </w:p>
    <w:p>
      <w:pPr>
        <w:pStyle w:val="Normal"/>
        <w:spacing w:before="0" w:after="120"/>
        <w:ind w:firstLine="720"/>
        <w:jc w:val="both"/>
        <w:rPr>
          <w:szCs w:val="26"/>
        </w:rPr>
      </w:pPr>
      <w:r>
        <w:rPr>
          <w:szCs w:val="26"/>
        </w:rPr>
        <w:t>2. Các Luật, Nghị định và Thông tư hướng dẫn liên quan đến ngành, lĩnh vực đầu tư của dự án.</w:t>
      </w:r>
    </w:p>
    <w:p>
      <w:pPr>
        <w:pStyle w:val="Normal"/>
        <w:spacing w:before="0" w:after="120"/>
        <w:ind w:firstLine="720"/>
        <w:jc w:val="both"/>
        <w:rPr>
          <w:szCs w:val="26"/>
        </w:rPr>
      </w:pPr>
      <w:r>
        <w:rPr>
          <w:szCs w:val="26"/>
        </w:rPr>
        <w:t>3. Các quyết định, văn bản của cấp có thẩm quyền trong các bước lập, thẩm định báo cáo đề xuất chủ trương đầu tư, quyết định chủ trương đầu tư (nếu có); trường hợp dự án áp dụng loại hợp đồng O&amp;M, các quyết định, văn bản của cấp có thẩm quyền liên quan đến công trình, hệ thống cơ sở hạ tầng.</w:t>
      </w:r>
    </w:p>
    <w:p>
      <w:pPr>
        <w:pStyle w:val="Normal"/>
        <w:spacing w:before="0" w:after="120"/>
        <w:ind w:firstLine="720"/>
        <w:jc w:val="both"/>
        <w:rPr>
          <w:szCs w:val="26"/>
        </w:rPr>
      </w:pPr>
      <w:r>
        <w:rPr>
          <w:b/>
          <w:bCs/>
          <w:szCs w:val="26"/>
        </w:rPr>
        <w:t>C. THÀNH PHẦN HỒ SƠ TRÌNH</w:t>
      </w:r>
    </w:p>
    <w:p>
      <w:pPr>
        <w:pStyle w:val="Normal"/>
        <w:spacing w:before="0" w:after="120"/>
        <w:ind w:firstLine="720"/>
        <w:jc w:val="both"/>
        <w:rPr>
          <w:szCs w:val="26"/>
        </w:rPr>
      </w:pPr>
      <w:r>
        <w:rPr>
          <w:szCs w:val="26"/>
        </w:rPr>
        <w:t>Liệt kê thành phần hồ sơ trình tương ứng với từng giai đoạn</w:t>
      </w:r>
    </w:p>
    <w:p>
      <w:pPr>
        <w:pStyle w:val="Normal"/>
        <w:spacing w:before="0" w:after="120"/>
        <w:ind w:firstLine="720"/>
        <w:jc w:val="both"/>
        <w:rPr>
          <w:szCs w:val="26"/>
        </w:rPr>
      </w:pPr>
      <w:r>
        <w:rPr>
          <w:b/>
          <w:bCs/>
          <w:szCs w:val="26"/>
        </w:rPr>
        <w:t>I. THÀNH PHẦN HỒ SƠ ĐỀ NGHỊ THẨM ĐỊNH BCKTKT (HOẶC NỘI DUNG ĐIỀU CHỈNH BCKTKT)</w:t>
      </w:r>
    </w:p>
    <w:p>
      <w:pPr>
        <w:pStyle w:val="Normal"/>
        <w:spacing w:before="0" w:after="120"/>
        <w:ind w:firstLine="720"/>
        <w:jc w:val="both"/>
        <w:rPr>
          <w:szCs w:val="26"/>
        </w:rPr>
      </w:pPr>
      <w:r>
        <w:rPr>
          <w:szCs w:val="26"/>
        </w:rPr>
        <w:t>1. Văn bản đề nghị thẩm định.</w:t>
      </w:r>
    </w:p>
    <w:p>
      <w:pPr>
        <w:pStyle w:val="Normal"/>
        <w:spacing w:before="0" w:after="120"/>
        <w:ind w:firstLine="720"/>
        <w:jc w:val="both"/>
        <w:rPr>
          <w:szCs w:val="26"/>
        </w:rPr>
      </w:pPr>
      <w:r>
        <w:rPr>
          <w:szCs w:val="26"/>
        </w:rPr>
        <w:t>2. Dự thảo tờ trình đề nghị phê duyệt dự án (hoặc điều chỉnh dự án).</w:t>
      </w:r>
    </w:p>
    <w:p>
      <w:pPr>
        <w:pStyle w:val="Normal"/>
        <w:spacing w:before="0" w:after="120"/>
        <w:ind w:firstLine="720"/>
        <w:jc w:val="both"/>
        <w:rPr>
          <w:szCs w:val="26"/>
        </w:rPr>
      </w:pPr>
      <w:r>
        <w:rPr>
          <w:szCs w:val="26"/>
        </w:rPr>
        <w:t>3. BCKTKT (hoặc nội dung điều chỉnh BCKTKT).</w:t>
      </w:r>
    </w:p>
    <w:p>
      <w:pPr>
        <w:pStyle w:val="Normal"/>
        <w:spacing w:before="0" w:after="120"/>
        <w:ind w:firstLine="720"/>
        <w:jc w:val="both"/>
        <w:rPr>
          <w:szCs w:val="26"/>
        </w:rPr>
      </w:pPr>
      <w:r>
        <w:rPr>
          <w:szCs w:val="26"/>
        </w:rPr>
        <w:t>4. Quyết định chủ trương đầu tư (hoặc quyết định điều chỉnh chủ trương đầu tư) (nếu có).</w:t>
      </w:r>
    </w:p>
    <w:p>
      <w:pPr>
        <w:pStyle w:val="Normal"/>
        <w:spacing w:before="0" w:after="120"/>
        <w:ind w:firstLine="720"/>
        <w:jc w:val="both"/>
        <w:rPr>
          <w:szCs w:val="26"/>
        </w:rPr>
      </w:pPr>
      <w:r>
        <w:rPr>
          <w:szCs w:val="26"/>
        </w:rPr>
        <w:t>5. Tài liệu pháp lý khác có liên quan của dự án.</w:t>
      </w:r>
    </w:p>
    <w:p>
      <w:pPr>
        <w:pStyle w:val="Normal"/>
        <w:spacing w:before="0" w:after="120"/>
        <w:ind w:firstLine="720"/>
        <w:jc w:val="both"/>
        <w:rPr>
          <w:szCs w:val="26"/>
        </w:rPr>
      </w:pPr>
      <w:r>
        <w:rPr>
          <w:b/>
          <w:bCs/>
          <w:szCs w:val="26"/>
        </w:rPr>
        <w:t>II. THÀNH PHẦN HỒ SƠ ĐỀ NGHỊ PHÊ DUYỆT DỰ ÁN (HOẶC ĐIỀU CHỈNH DỰ ÁN)</w:t>
      </w:r>
    </w:p>
    <w:p>
      <w:pPr>
        <w:pStyle w:val="Normal"/>
        <w:spacing w:before="0" w:after="120"/>
        <w:ind w:firstLine="720"/>
        <w:jc w:val="both"/>
        <w:rPr>
          <w:szCs w:val="26"/>
        </w:rPr>
      </w:pPr>
      <w:r>
        <w:rPr>
          <w:szCs w:val="26"/>
        </w:rPr>
        <w:t>1. Tờ trình đề nghị phê duyệt dự án (hoặc điều chỉnh dự án).</w:t>
      </w:r>
    </w:p>
    <w:p>
      <w:pPr>
        <w:pStyle w:val="Normal"/>
        <w:spacing w:before="0" w:after="120"/>
        <w:ind w:firstLine="720"/>
        <w:jc w:val="both"/>
        <w:rPr>
          <w:szCs w:val="26"/>
        </w:rPr>
      </w:pPr>
      <w:r>
        <w:rPr>
          <w:szCs w:val="26"/>
        </w:rPr>
        <w:t>2. Dự thảo quyết định phê duyệt dự án (hoặc quyết định điều chỉnh dự án).</w:t>
      </w:r>
    </w:p>
    <w:p>
      <w:pPr>
        <w:pStyle w:val="Normal"/>
        <w:spacing w:before="0" w:after="120"/>
        <w:ind w:firstLine="720"/>
        <w:jc w:val="both"/>
        <w:rPr>
          <w:szCs w:val="26"/>
        </w:rPr>
      </w:pPr>
      <w:r>
        <w:rPr>
          <w:szCs w:val="26"/>
        </w:rPr>
        <w:t>3. BCKTKT (hoặc nội dung điều chỉnh BCKTKT).</w:t>
      </w:r>
    </w:p>
    <w:p>
      <w:pPr>
        <w:pStyle w:val="Normal"/>
        <w:spacing w:before="0" w:after="120"/>
        <w:ind w:firstLine="720"/>
        <w:jc w:val="both"/>
        <w:rPr>
          <w:szCs w:val="26"/>
        </w:rPr>
      </w:pPr>
      <w:r>
        <w:rPr>
          <w:szCs w:val="26"/>
        </w:rPr>
        <w:t>4. Báo cáo thẩm định BCKTKT (hoặc báo cáo thẩm định nội dung điều chỉnh BCKTKT).</w:t>
      </w:r>
    </w:p>
    <w:p>
      <w:pPr>
        <w:pStyle w:val="Normal"/>
        <w:spacing w:before="0" w:after="120"/>
        <w:ind w:firstLine="720"/>
        <w:jc w:val="both"/>
        <w:rPr>
          <w:szCs w:val="26"/>
        </w:rPr>
      </w:pPr>
      <w:r>
        <w:rPr>
          <w:szCs w:val="26"/>
        </w:rPr>
        <w:t>5. Quyết định chủ trương đầu tư (hoặc quyết định điều chỉnh chủ trương đầu tư) (nếu có).</w:t>
      </w:r>
    </w:p>
    <w:p>
      <w:pPr>
        <w:pStyle w:val="Normal"/>
        <w:spacing w:before="0" w:after="120"/>
        <w:ind w:firstLine="720"/>
        <w:jc w:val="both"/>
        <w:rPr>
          <w:szCs w:val="26"/>
        </w:rPr>
      </w:pPr>
      <w:r>
        <w:rPr>
          <w:szCs w:val="26"/>
        </w:rPr>
        <w:t>6. Tài liệu pháp lý khác có liên quan của dự án.</w:t>
      </w:r>
    </w:p>
    <w:p>
      <w:pPr>
        <w:pStyle w:val="Normal"/>
        <w:spacing w:before="0" w:after="120"/>
        <w:ind w:firstLine="720"/>
        <w:jc w:val="both"/>
        <w:rPr>
          <w:szCs w:val="26"/>
        </w:rPr>
      </w:pPr>
      <w:r>
        <w:rPr>
          <w:b/>
          <w:bCs/>
          <w:szCs w:val="26"/>
        </w:rPr>
        <w:t>D. NỘI DUNG BÁO CÁO KINH TẾ - KỸ THUẬT ĐẦU TƯ XÂY DỰNG</w:t>
      </w:r>
    </w:p>
    <w:p>
      <w:pPr>
        <w:pStyle w:val="Normal"/>
        <w:spacing w:before="0" w:after="120"/>
        <w:ind w:firstLine="720"/>
        <w:jc w:val="both"/>
        <w:rPr>
          <w:szCs w:val="26"/>
        </w:rPr>
      </w:pPr>
      <w:r>
        <w:rPr>
          <w:b/>
          <w:bCs/>
          <w:szCs w:val="26"/>
        </w:rPr>
        <w:t>I. SỰ CẦN THIẾT ĐẦU TƯ DỰ ÁN</w:t>
      </w:r>
    </w:p>
    <w:p>
      <w:pPr>
        <w:pStyle w:val="Normal"/>
        <w:spacing w:before="0" w:after="120"/>
        <w:ind w:firstLine="720"/>
        <w:jc w:val="both"/>
        <w:rPr>
          <w:szCs w:val="26"/>
        </w:rPr>
      </w:pPr>
      <w:r>
        <w:rPr>
          <w:szCs w:val="26"/>
        </w:rPr>
        <w:t>1. Bối cảnh chung</w:t>
      </w:r>
    </w:p>
    <w:p>
      <w:pPr>
        <w:pStyle w:val="Normal"/>
        <w:spacing w:before="0" w:after="120"/>
        <w:ind w:firstLine="720"/>
        <w:jc w:val="both"/>
        <w:rPr>
          <w:szCs w:val="26"/>
        </w:rPr>
      </w:pPr>
      <w:r>
        <w:rPr>
          <w:szCs w:val="26"/>
        </w:rPr>
        <w:t>- Trường hợp dự án có cấu phần xây dựng, thuyết minh các nội dung sau:</w:t>
      </w:r>
    </w:p>
    <w:p>
      <w:pPr>
        <w:pStyle w:val="Normal"/>
        <w:spacing w:before="0" w:after="120"/>
        <w:ind w:firstLine="720"/>
        <w:jc w:val="both"/>
        <w:rPr>
          <w:szCs w:val="26"/>
        </w:rPr>
      </w:pPr>
      <w:r>
        <w:rPr>
          <w:szCs w:val="26"/>
        </w:rPr>
        <w:t>+ Thuyết minh bối cảnh chung về kinh tế - xã hội của quốc gia, địa phương trong giai đoạn dự án được triển khai;</w:t>
      </w:r>
    </w:p>
    <w:p>
      <w:pPr>
        <w:pStyle w:val="Normal"/>
        <w:spacing w:before="0" w:after="120"/>
        <w:ind w:firstLine="720"/>
        <w:jc w:val="both"/>
        <w:rPr>
          <w:szCs w:val="26"/>
        </w:rPr>
      </w:pPr>
      <w:r>
        <w:rPr>
          <w:szCs w:val="26"/>
        </w:rPr>
        <w:t>+ Tổng quan về ngành, lĩnh vực mà dự án đề xuất, các ảnh hưởng trực tiếp, gián tiếp của các quy định về pháp luật chuyên ngành đối với dự án;</w:t>
      </w:r>
    </w:p>
    <w:p>
      <w:pPr>
        <w:pStyle w:val="Normal"/>
        <w:spacing w:before="0" w:after="120"/>
        <w:ind w:firstLine="720"/>
        <w:jc w:val="both"/>
        <w:rPr>
          <w:szCs w:val="26"/>
        </w:rPr>
      </w:pPr>
      <w:r>
        <w:rPr>
          <w:szCs w:val="26"/>
        </w:rPr>
        <w:t>+ Nhận định các lợi ích dự kiến dự án sẽ đóng góp cho quốc gia và/hoặc địa phương.</w:t>
      </w:r>
    </w:p>
    <w:p>
      <w:pPr>
        <w:pStyle w:val="Normal"/>
        <w:spacing w:before="0" w:after="120"/>
        <w:ind w:firstLine="720"/>
        <w:jc w:val="both"/>
        <w:rPr>
          <w:szCs w:val="26"/>
        </w:rPr>
      </w:pPr>
      <w:r>
        <w:rPr>
          <w:szCs w:val="26"/>
        </w:rPr>
        <w:t>- Trường hợp dự án áp dụng loại hợp đồng O&amp;M, thuyết minh sự phù hợp của dự án và các lợi ích dự kiến dự án sẽ đóng góp cho quốc gia và/hoặc địa phương.</w:t>
      </w:r>
    </w:p>
    <w:p>
      <w:pPr>
        <w:pStyle w:val="Normal"/>
        <w:spacing w:before="0" w:after="120"/>
        <w:ind w:firstLine="720"/>
        <w:jc w:val="both"/>
        <w:rPr>
          <w:szCs w:val="26"/>
        </w:rPr>
      </w:pPr>
      <w:r>
        <w:rPr>
          <w:szCs w:val="26"/>
        </w:rPr>
        <w:t>2. Hiện trạng khu vực thực hiện dự án</w:t>
      </w:r>
    </w:p>
    <w:p>
      <w:pPr>
        <w:pStyle w:val="Normal"/>
        <w:spacing w:before="0" w:after="120"/>
        <w:ind w:firstLine="720"/>
        <w:jc w:val="both"/>
        <w:rPr>
          <w:szCs w:val="26"/>
        </w:rPr>
      </w:pPr>
      <w:r>
        <w:rPr>
          <w:szCs w:val="26"/>
        </w:rPr>
        <w:t>- Trường hợp dự án khởi công mới, thuyết minh về hiện trạng, thực trạng của khu vực, địa điểm sẽ triển khai dự án.</w:t>
      </w:r>
    </w:p>
    <w:p>
      <w:pPr>
        <w:pStyle w:val="Normal"/>
        <w:spacing w:before="0" w:after="120"/>
        <w:ind w:firstLine="720"/>
        <w:jc w:val="both"/>
        <w:rPr>
          <w:szCs w:val="26"/>
        </w:rPr>
      </w:pPr>
      <w:r>
        <w:rPr>
          <w:szCs w:val="26"/>
        </w:rPr>
        <w:t>- Trường hợp dự án cải tạo, sửa chữa, nâng cấp, đánh giá bổ sung hiện trạng của công trình cần cải tạo, sửa chữa, nâng cấp.</w:t>
      </w:r>
    </w:p>
    <w:p>
      <w:pPr>
        <w:pStyle w:val="Normal"/>
        <w:spacing w:before="0" w:after="120"/>
        <w:ind w:firstLine="720"/>
        <w:jc w:val="both"/>
        <w:rPr>
          <w:szCs w:val="26"/>
        </w:rPr>
      </w:pPr>
      <w:r>
        <w:rPr>
          <w:szCs w:val="26"/>
        </w:rPr>
        <w:t>- Trường hợp dự án áp dụng loại hợp đồng O&amp;M, đánh giá hiện trạng công trình, hệ thống cơ sở hạ tầng thuộc dự án; máy móc, thiết bị và các loại tài sản khác có liên quan.</w:t>
      </w:r>
    </w:p>
    <w:p>
      <w:pPr>
        <w:pStyle w:val="Normal"/>
        <w:spacing w:before="0" w:after="120"/>
        <w:ind w:firstLine="720"/>
        <w:jc w:val="both"/>
        <w:rPr>
          <w:szCs w:val="26"/>
        </w:rPr>
      </w:pPr>
      <w:r>
        <w:rPr>
          <w:szCs w:val="26"/>
        </w:rPr>
        <w:t>3. Lợi thế của việc đầu tư theo phương thức PPP:</w:t>
      </w:r>
    </w:p>
    <w:p>
      <w:pPr>
        <w:pStyle w:val="Normal"/>
        <w:spacing w:before="0" w:after="120"/>
        <w:ind w:firstLine="720"/>
        <w:jc w:val="both"/>
        <w:rPr>
          <w:szCs w:val="26"/>
        </w:rPr>
      </w:pPr>
      <w:r>
        <w:rPr>
          <w:szCs w:val="26"/>
        </w:rPr>
        <w:t>Phân tích chi tiết lợi thế đối với dự án khi đầu tư theo phương thức PPP so với hình thức đầu tư khác trên cơ sở các nội dung:</w:t>
      </w:r>
    </w:p>
    <w:p>
      <w:pPr>
        <w:pStyle w:val="Normal"/>
        <w:spacing w:before="0" w:after="120"/>
        <w:ind w:firstLine="720"/>
        <w:jc w:val="both"/>
        <w:rPr>
          <w:szCs w:val="26"/>
        </w:rPr>
      </w:pPr>
      <w:r>
        <w:rPr>
          <w:szCs w:val="26"/>
        </w:rPr>
        <w:t>- Khả năng thu hút nguồn vốn.</w:t>
      </w:r>
    </w:p>
    <w:p>
      <w:pPr>
        <w:pStyle w:val="Normal"/>
        <w:spacing w:before="0" w:after="120"/>
        <w:ind w:firstLine="720"/>
        <w:jc w:val="both"/>
        <w:rPr>
          <w:szCs w:val="26"/>
        </w:rPr>
      </w:pPr>
      <w:r>
        <w:rPr>
          <w:szCs w:val="26"/>
        </w:rPr>
        <w:t>- Chất lượng dịch vụ cung cấp.</w:t>
      </w:r>
    </w:p>
    <w:p>
      <w:pPr>
        <w:pStyle w:val="Normal"/>
        <w:spacing w:before="0" w:after="120"/>
        <w:ind w:firstLine="720"/>
        <w:jc w:val="both"/>
        <w:rPr>
          <w:szCs w:val="26"/>
        </w:rPr>
      </w:pPr>
      <w:r>
        <w:rPr>
          <w:szCs w:val="26"/>
        </w:rPr>
        <w:t>- Các yếu tố khác của khu vực tư nhân và nhà nước (nếu có).</w:t>
      </w:r>
    </w:p>
    <w:p>
      <w:pPr>
        <w:pStyle w:val="Normal"/>
        <w:spacing w:before="0" w:after="120"/>
        <w:ind w:firstLine="720"/>
        <w:jc w:val="both"/>
        <w:rPr>
          <w:szCs w:val="26"/>
        </w:rPr>
      </w:pPr>
      <w:r>
        <w:rPr>
          <w:b/>
          <w:bCs/>
          <w:szCs w:val="26"/>
        </w:rPr>
        <w:t>II. PHÂN TÍCH HIỆU QUẢ KINH TẾ - XÃ HỘI CỦA DỰ ÁN; TÁC ĐỘNG VỀ MÔI TRƯỜNG, XÃ HỘI VÀ QUỐC PHÒNG, AN NINH</w:t>
      </w:r>
    </w:p>
    <w:p>
      <w:pPr>
        <w:pStyle w:val="Normal"/>
        <w:spacing w:before="0" w:after="120"/>
        <w:ind w:firstLine="720"/>
        <w:jc w:val="both"/>
        <w:rPr>
          <w:szCs w:val="26"/>
        </w:rPr>
      </w:pPr>
      <w:r>
        <w:rPr>
          <w:szCs w:val="26"/>
        </w:rPr>
        <w:t>1. Xác định các yếu tố chi phí và lợi ích về mặt kinh tế - xã hội</w:t>
      </w:r>
    </w:p>
    <w:p>
      <w:pPr>
        <w:pStyle w:val="Normal"/>
        <w:spacing w:before="0" w:after="120"/>
        <w:ind w:firstLine="720"/>
        <w:jc w:val="both"/>
        <w:rPr>
          <w:szCs w:val="26"/>
        </w:rPr>
      </w:pPr>
      <w:r>
        <w:rPr>
          <w:szCs w:val="26"/>
        </w:rPr>
        <w:t>Xác định chi tiết các yếu tố chi phí và lợi ích về mặt kinh tế - xã hội của dự án theo các nhóm yếu tố dưới đây:</w:t>
      </w:r>
    </w:p>
    <w:p>
      <w:pPr>
        <w:pStyle w:val="Normal"/>
        <w:spacing w:before="0" w:after="120"/>
        <w:ind w:firstLine="720"/>
        <w:jc w:val="both"/>
        <w:rPr>
          <w:szCs w:val="26"/>
        </w:rPr>
      </w:pPr>
      <w:r>
        <w:rPr>
          <w:szCs w:val="26"/>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pPr>
        <w:pStyle w:val="Normal"/>
        <w:spacing w:before="0" w:after="120"/>
        <w:ind w:firstLine="720"/>
        <w:jc w:val="both"/>
        <w:rPr>
          <w:szCs w:val="26"/>
        </w:rPr>
      </w:pPr>
      <w:r>
        <w:rPr>
          <w:szCs w:val="26"/>
        </w:rPr>
        <w:t>- Nhóm yếu tố có thể định lượng nhưng không định giá được (ví dụ: lợi ích do cải thiện về môi trường, lợi ích do thúc đẩy tăng trưởng kinh tế, gia tăng việc làm...).</w:t>
      </w:r>
    </w:p>
    <w:p>
      <w:pPr>
        <w:pStyle w:val="Normal"/>
        <w:spacing w:before="0" w:after="120"/>
        <w:ind w:firstLine="720"/>
        <w:jc w:val="both"/>
        <w:rPr>
          <w:szCs w:val="26"/>
        </w:rPr>
      </w:pPr>
      <w:r>
        <w:rPr>
          <w:szCs w:val="26"/>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pPr>
        <w:pStyle w:val="Normal"/>
        <w:spacing w:before="0" w:after="120"/>
        <w:ind w:firstLine="720"/>
        <w:jc w:val="both"/>
        <w:rPr>
          <w:szCs w:val="26"/>
        </w:rPr>
      </w:pPr>
      <w:r>
        <w:rPr>
          <w:szCs w:val="26"/>
        </w:rPr>
        <w:t>2. Các chỉ tiêu phân tích hiệu quả kinh tế - xã hội của dự án</w:t>
      </w:r>
    </w:p>
    <w:p>
      <w:pPr>
        <w:pStyle w:val="Normal"/>
        <w:spacing w:before="0" w:after="120"/>
        <w:ind w:firstLine="720"/>
        <w:jc w:val="both"/>
        <w:rPr>
          <w:szCs w:val="26"/>
        </w:rPr>
      </w:pPr>
      <w:r>
        <w:rPr>
          <w:szCs w:val="26"/>
        </w:rPr>
        <w:t>a) Giá trị hiện tại ròng kinh tế (ENPV)</w:t>
      </w:r>
    </w:p>
    <w:p>
      <w:pPr>
        <w:pStyle w:val="Normal"/>
        <w:spacing w:before="0" w:after="120"/>
        <w:ind w:firstLine="720"/>
        <w:jc w:val="both"/>
        <w:rPr>
          <w:szCs w:val="26"/>
        </w:rPr>
      </w:pPr>
      <w:r>
        <w:rPr>
          <w:szCs w:val="26"/>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pPr>
        <w:pStyle w:val="Normal"/>
        <w:spacing w:before="0" w:after="120"/>
        <w:ind w:firstLine="720"/>
        <w:jc w:val="both"/>
        <w:rPr>
          <w:szCs w:val="26"/>
        </w:rPr>
      </w:pPr>
      <w:r>
        <w:rPr/>
        <w:drawing>
          <wp:inline distT="0" distB="0" distL="0" distR="0">
            <wp:extent cx="2306955" cy="580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2306955" cy="580390"/>
                    </a:xfrm>
                    <a:prstGeom prst="rect">
                      <a:avLst/>
                    </a:prstGeom>
                    <a:noFill/>
                  </pic:spPr>
                </pic:pic>
              </a:graphicData>
            </a:graphic>
          </wp:inline>
        </w:drawing>
      </w:r>
    </w:p>
    <w:p>
      <w:pPr>
        <w:pStyle w:val="Normal"/>
        <w:spacing w:before="0" w:after="120"/>
        <w:ind w:firstLine="720"/>
        <w:jc w:val="both"/>
        <w:rPr>
          <w:szCs w:val="26"/>
        </w:rPr>
      </w:pPr>
      <w:r>
        <w:rPr>
          <w:szCs w:val="26"/>
        </w:rPr>
        <w:t>Trong đó:</w:t>
      </w:r>
    </w:p>
    <w:p>
      <w:pPr>
        <w:pStyle w:val="Normal"/>
        <w:spacing w:before="0" w:after="120"/>
        <w:ind w:firstLine="720"/>
        <w:jc w:val="both"/>
        <w:rPr>
          <w:szCs w:val="26"/>
        </w:rPr>
      </w:pPr>
      <w:r>
        <w:rPr>
          <w:szCs w:val="26"/>
        </w:rPr>
        <w:t>B</w:t>
      </w:r>
      <w:r>
        <w:rPr>
          <w:szCs w:val="26"/>
          <w:vertAlign w:val="subscript"/>
        </w:rPr>
        <w:t>t</w:t>
      </w:r>
      <w:r>
        <w:rPr>
          <w:szCs w:val="26"/>
        </w:rPr>
        <w:t>: lợi ích năm thứ t;</w:t>
      </w:r>
    </w:p>
    <w:p>
      <w:pPr>
        <w:pStyle w:val="Normal"/>
        <w:spacing w:before="0" w:after="120"/>
        <w:ind w:firstLine="720"/>
        <w:jc w:val="both"/>
        <w:rPr>
          <w:szCs w:val="26"/>
        </w:rPr>
      </w:pPr>
      <w:r>
        <w:rPr>
          <w:szCs w:val="26"/>
        </w:rPr>
        <w:t>C</w:t>
      </w:r>
      <w:r>
        <w:rPr>
          <w:szCs w:val="26"/>
          <w:vertAlign w:val="subscript"/>
        </w:rPr>
        <w:t>t</w:t>
      </w:r>
      <w:r>
        <w:rPr>
          <w:szCs w:val="26"/>
        </w:rPr>
        <w:t>: chi phí năm thứ t;</w:t>
      </w:r>
    </w:p>
    <w:p>
      <w:pPr>
        <w:pStyle w:val="Normal"/>
        <w:spacing w:before="0" w:after="120"/>
        <w:ind w:firstLine="720"/>
        <w:jc w:val="both"/>
        <w:rPr>
          <w:szCs w:val="26"/>
        </w:rPr>
      </w:pPr>
      <w:r>
        <w:rPr>
          <w:szCs w:val="26"/>
        </w:rPr>
        <w:t>t: năm trong vòng đời dự án (0, 1, 2,..., n);</w:t>
      </w:r>
    </w:p>
    <w:p>
      <w:pPr>
        <w:pStyle w:val="Normal"/>
        <w:spacing w:before="0" w:after="120"/>
        <w:ind w:firstLine="720"/>
        <w:jc w:val="both"/>
        <w:rPr>
          <w:szCs w:val="26"/>
        </w:rPr>
      </w:pPr>
      <w:r>
        <w:rPr>
          <w:szCs w:val="26"/>
        </w:rPr>
        <w:t>n: số năm hoạt động của dự án (thời gian hợp đồng dự án);</w:t>
      </w:r>
    </w:p>
    <w:p>
      <w:pPr>
        <w:pStyle w:val="Normal"/>
        <w:spacing w:before="0" w:after="120"/>
        <w:ind w:firstLine="720"/>
        <w:jc w:val="both"/>
        <w:rPr>
          <w:szCs w:val="26"/>
        </w:rPr>
      </w:pPr>
      <w:r>
        <w:rPr>
          <w:szCs w:val="26"/>
        </w:rPr>
        <w:t>r</w:t>
      </w:r>
      <w:r>
        <w:rPr>
          <w:szCs w:val="26"/>
          <w:vertAlign w:val="subscript"/>
        </w:rPr>
        <w:t>e</w:t>
      </w:r>
      <w:r>
        <w:rPr>
          <w:szCs w:val="26"/>
        </w:rPr>
        <w:t>: tỷ suất chiết khấu kinh tế của dự án. Giá trị r</w:t>
      </w:r>
      <w:r>
        <w:rPr>
          <w:szCs w:val="26"/>
          <w:vertAlign w:val="subscript"/>
        </w:rPr>
        <w:t>e</w:t>
      </w:r>
      <w:r>
        <w:rPr>
          <w:szCs w:val="26"/>
        </w:rPr>
        <w:t xml:space="preserve"> được xác định theo quy định của từng ngành. Trường hợp chưa được quy định cụ thể thì đơn vị lập BCKTKT có thể tham khảo giá trị r</w:t>
      </w:r>
      <w:r>
        <w:rPr>
          <w:szCs w:val="26"/>
          <w:vertAlign w:val="subscript"/>
        </w:rPr>
        <w:t>e</w:t>
      </w:r>
      <w:r>
        <w:rPr>
          <w:szCs w:val="26"/>
        </w:rPr>
        <w:t xml:space="preserve"> = 10% hoặc đề xuất giá trị tính toán khác nhưng cần có thuyết minh về lý do lựa chọn giá trị đó.</w:t>
      </w:r>
    </w:p>
    <w:p>
      <w:pPr>
        <w:pStyle w:val="Normal"/>
        <w:spacing w:before="0" w:after="120"/>
        <w:ind w:firstLine="720"/>
        <w:jc w:val="both"/>
        <w:rPr>
          <w:szCs w:val="26"/>
        </w:rPr>
      </w:pPr>
      <w:r>
        <w:rPr>
          <w:szCs w:val="26"/>
        </w:rPr>
        <w:t>b) Tỷ số lợi ích trên chi phí về kinh tế (BCR)</w:t>
      </w:r>
    </w:p>
    <w:p>
      <w:pPr>
        <w:pStyle w:val="Normal"/>
        <w:spacing w:before="0" w:after="120"/>
        <w:ind w:firstLine="720"/>
        <w:jc w:val="both"/>
        <w:rPr>
          <w:szCs w:val="26"/>
        </w:rPr>
      </w:pPr>
      <w:r>
        <w:rPr>
          <w:szCs w:val="26"/>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pPr>
        <w:pStyle w:val="Normal"/>
        <w:spacing w:before="0" w:after="120"/>
        <w:ind w:firstLine="720"/>
        <w:jc w:val="both"/>
        <w:rPr>
          <w:szCs w:val="26"/>
        </w:rPr>
      </w:pPr>
      <w:r>
        <w:rPr/>
        <w:drawing>
          <wp:inline distT="0" distB="0" distL="0" distR="0">
            <wp:extent cx="2014855" cy="1195705"/>
            <wp:effectExtent l="0" t="0" r="0" b="0"/>
            <wp:docPr id="2" name="Ản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Ảnh2"/>
                    <pic:cNvPicPr>
                      <a:picLocks noChangeAspect="1" noChangeArrowheads="1"/>
                    </pic:cNvPicPr>
                  </pic:nvPicPr>
                  <pic:blipFill>
                    <a:blip r:embed="rId3"/>
                    <a:stretch>
                      <a:fillRect/>
                    </a:stretch>
                  </pic:blipFill>
                  <pic:spPr bwMode="auto">
                    <a:xfrm>
                      <a:off x="0" y="0"/>
                      <a:ext cx="2014855" cy="1195705"/>
                    </a:xfrm>
                    <a:prstGeom prst="rect">
                      <a:avLst/>
                    </a:prstGeom>
                    <a:noFill/>
                  </pic:spPr>
                </pic:pic>
              </a:graphicData>
            </a:graphic>
          </wp:inline>
        </w:drawing>
      </w:r>
    </w:p>
    <w:p>
      <w:pPr>
        <w:pStyle w:val="Normal"/>
        <w:spacing w:before="0" w:after="120"/>
        <w:ind w:firstLine="720"/>
        <w:jc w:val="both"/>
        <w:rPr>
          <w:szCs w:val="26"/>
        </w:rPr>
      </w:pPr>
      <w:r>
        <w:rPr>
          <w:szCs w:val="26"/>
        </w:rPr>
        <w:t>Trong đó: B</w:t>
      </w:r>
      <w:r>
        <w:rPr>
          <w:szCs w:val="26"/>
          <w:vertAlign w:val="subscript"/>
        </w:rPr>
        <w:t>t</w:t>
      </w:r>
      <w:r>
        <w:rPr>
          <w:szCs w:val="26"/>
        </w:rPr>
        <w:t>, C</w:t>
      </w:r>
      <w:r>
        <w:rPr>
          <w:szCs w:val="26"/>
          <w:vertAlign w:val="subscript"/>
        </w:rPr>
        <w:t>t</w:t>
      </w:r>
      <w:r>
        <w:rPr>
          <w:szCs w:val="26"/>
        </w:rPr>
        <w:t>, t, n, r</w:t>
      </w:r>
      <w:r>
        <w:rPr>
          <w:szCs w:val="26"/>
          <w:vertAlign w:val="subscript"/>
        </w:rPr>
        <w:t>e</w:t>
      </w:r>
      <w:r>
        <w:rPr>
          <w:szCs w:val="26"/>
        </w:rPr>
        <w:t xml:space="preserve"> có ý nghĩa tương tự như trong công thức tính ENPV nêu trên.</w:t>
      </w:r>
    </w:p>
    <w:p>
      <w:pPr>
        <w:pStyle w:val="Normal"/>
        <w:spacing w:before="0" w:after="120"/>
        <w:ind w:firstLine="720"/>
        <w:jc w:val="both"/>
        <w:rPr>
          <w:szCs w:val="26"/>
        </w:rPr>
      </w:pPr>
      <w:r>
        <w:rPr>
          <w:szCs w:val="26"/>
        </w:rPr>
        <w:t>c) Tỷ suất nội hoàn kinh tế (EIRR)</w:t>
      </w:r>
    </w:p>
    <w:p>
      <w:pPr>
        <w:pStyle w:val="Normal"/>
        <w:spacing w:before="0" w:after="120"/>
        <w:ind w:firstLine="720"/>
        <w:jc w:val="both"/>
        <w:rPr>
          <w:szCs w:val="26"/>
        </w:rPr>
      </w:pPr>
      <w:r>
        <w:rPr>
          <w:szCs w:val="26"/>
        </w:rPr>
        <w:t>Tỷ suất nội hoàn kinh tế là tỷ suất chiết khấu kinh tế tối đa để dự án thu hồi nguồn vốn đầu tư và chi phí vận hành, đạt được sự hòa vốn. EIRR bằng giá trị tỷ suất chiết khấu (r</w:t>
      </w:r>
      <w:r>
        <w:rPr>
          <w:szCs w:val="26"/>
          <w:vertAlign w:val="subscript"/>
        </w:rPr>
        <w:t>e</w:t>
      </w:r>
      <w:r>
        <w:rPr>
          <w:szCs w:val="26"/>
        </w:rPr>
        <w:t>) trong trường hợp ENPV = 0 và được xác định thông qua việc giải phương trình sau:</w:t>
      </w:r>
    </w:p>
    <w:p>
      <w:pPr>
        <w:pStyle w:val="Normal"/>
        <w:spacing w:before="0" w:after="120"/>
        <w:ind w:firstLine="720"/>
        <w:jc w:val="both"/>
        <w:rPr>
          <w:szCs w:val="26"/>
        </w:rPr>
      </w:pPr>
      <w:r>
        <w:rPr/>
        <w:drawing>
          <wp:inline distT="0" distB="0" distL="0" distR="0">
            <wp:extent cx="3441065" cy="645795"/>
            <wp:effectExtent l="0" t="0" r="0" b="0"/>
            <wp:docPr id="3" name="Ản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Ảnh3"/>
                    <pic:cNvPicPr>
                      <a:picLocks noChangeAspect="1" noChangeArrowheads="1"/>
                    </pic:cNvPicPr>
                  </pic:nvPicPr>
                  <pic:blipFill>
                    <a:blip r:embed="rId4"/>
                    <a:stretch>
                      <a:fillRect/>
                    </a:stretch>
                  </pic:blipFill>
                  <pic:spPr bwMode="auto">
                    <a:xfrm>
                      <a:off x="0" y="0"/>
                      <a:ext cx="3441065" cy="645795"/>
                    </a:xfrm>
                    <a:prstGeom prst="rect">
                      <a:avLst/>
                    </a:prstGeom>
                    <a:noFill/>
                  </pic:spPr>
                </pic:pic>
              </a:graphicData>
            </a:graphic>
          </wp:inline>
        </w:drawing>
      </w:r>
    </w:p>
    <w:p>
      <w:pPr>
        <w:pStyle w:val="Normal"/>
        <w:spacing w:before="0" w:after="120"/>
        <w:ind w:firstLine="720"/>
        <w:jc w:val="both"/>
        <w:rPr>
          <w:szCs w:val="26"/>
        </w:rPr>
      </w:pPr>
      <w:r>
        <w:rPr>
          <w:szCs w:val="26"/>
        </w:rPr>
        <w:t>Trong đó: B</w:t>
      </w:r>
      <w:r>
        <w:rPr>
          <w:szCs w:val="26"/>
          <w:vertAlign w:val="subscript"/>
        </w:rPr>
        <w:t>t</w:t>
      </w:r>
      <w:r>
        <w:rPr>
          <w:szCs w:val="26"/>
        </w:rPr>
        <w:t>, C</w:t>
      </w:r>
      <w:r>
        <w:rPr>
          <w:szCs w:val="26"/>
          <w:vertAlign w:val="subscript"/>
        </w:rPr>
        <w:t>t</w:t>
      </w:r>
      <w:r>
        <w:rPr>
          <w:szCs w:val="26"/>
        </w:rPr>
        <w:t>, t, n có ý nghĩa tương tự như trong công thức tính ENPV nêu trên.</w:t>
      </w:r>
    </w:p>
    <w:p>
      <w:pPr>
        <w:pStyle w:val="Normal"/>
        <w:spacing w:before="0" w:after="120"/>
        <w:ind w:firstLine="720"/>
        <w:jc w:val="both"/>
        <w:rPr>
          <w:szCs w:val="26"/>
        </w:rPr>
      </w:pPr>
      <w:r>
        <w:rPr>
          <w:szCs w:val="26"/>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BCKTKT có thể tham khảo giá trị SDR = 10% hoặc đề xuất giá trị tính toán khác nhưng cần có thuyết minh về lý do lựa chọn giá trị đó.</w:t>
      </w:r>
    </w:p>
    <w:p>
      <w:pPr>
        <w:pStyle w:val="Normal"/>
        <w:spacing w:before="0" w:after="120"/>
        <w:ind w:firstLine="720"/>
        <w:jc w:val="both"/>
        <w:rPr>
          <w:szCs w:val="26"/>
        </w:rPr>
      </w:pPr>
      <w:r>
        <w:rPr>
          <w:szCs w:val="26"/>
        </w:rPr>
        <w:t>3. Kết luận về hiệu quả kinh tế - xã hội của dự án</w:t>
      </w:r>
    </w:p>
    <w:p>
      <w:pPr>
        <w:pStyle w:val="Normal"/>
        <w:spacing w:before="0" w:after="120"/>
        <w:ind w:firstLine="720"/>
        <w:jc w:val="both"/>
        <w:rPr>
          <w:szCs w:val="26"/>
        </w:rPr>
      </w:pPr>
      <w:r>
        <w:rPr>
          <w:szCs w:val="26"/>
        </w:rPr>
        <w:t>Trên cơ sở phân tích theo hướng dẫn nêu trên, BCKTKT nêu kết luận về hiệu quả kinh tế - xã hội của dự án.</w:t>
      </w:r>
    </w:p>
    <w:p>
      <w:pPr>
        <w:pStyle w:val="Normal"/>
        <w:spacing w:before="0" w:after="120"/>
        <w:ind w:firstLine="720"/>
        <w:jc w:val="both"/>
        <w:rPr>
          <w:szCs w:val="26"/>
        </w:rPr>
      </w:pPr>
      <w:r>
        <w:rPr>
          <w:szCs w:val="26"/>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BCKTKT nêu kết luận về hiệu quả kinh tế - xã hội của dự án trên cơ sở các nhóm yếu tố còn lại.</w:t>
      </w:r>
    </w:p>
    <w:p>
      <w:pPr>
        <w:pStyle w:val="Normal"/>
        <w:spacing w:before="0" w:after="120"/>
        <w:ind w:firstLine="720"/>
        <w:jc w:val="both"/>
        <w:rPr>
          <w:szCs w:val="26"/>
        </w:rPr>
      </w:pPr>
      <w:r>
        <w:rPr>
          <w:b/>
          <w:bCs/>
          <w:szCs w:val="26"/>
        </w:rPr>
        <w:t>III. PHÂN TÍCH TÀI CHÍNH DỰ ÁN</w:t>
      </w:r>
    </w:p>
    <w:p>
      <w:pPr>
        <w:pStyle w:val="Normal"/>
        <w:spacing w:before="0" w:after="120"/>
        <w:ind w:firstLine="720"/>
        <w:jc w:val="both"/>
        <w:rPr>
          <w:szCs w:val="26"/>
        </w:rPr>
      </w:pPr>
      <w:r>
        <w:rPr>
          <w:szCs w:val="26"/>
        </w:rPr>
        <w:t>1. Các thông số đầu vào sử dụng trong mô hình tài chính</w:t>
      </w:r>
    </w:p>
    <w:p>
      <w:pPr>
        <w:pStyle w:val="Normal"/>
        <w:spacing w:before="0" w:after="120"/>
        <w:ind w:firstLine="720"/>
        <w:jc w:val="both"/>
        <w:rPr>
          <w:szCs w:val="26"/>
        </w:rPr>
      </w:pPr>
      <w:r>
        <w:rPr>
          <w:szCs w:val="26"/>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pStyle w:val="Normal"/>
        <w:spacing w:before="0" w:after="120"/>
        <w:ind w:firstLine="720"/>
        <w:jc w:val="both"/>
        <w:rPr>
          <w:szCs w:val="26"/>
        </w:rPr>
      </w:pPr>
      <w:r>
        <w:rPr>
          <w:szCs w:val="26"/>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pPr>
        <w:pStyle w:val="Normal"/>
        <w:spacing w:before="0" w:after="120"/>
        <w:ind w:firstLine="720"/>
        <w:jc w:val="both"/>
        <w:rPr>
          <w:szCs w:val="26"/>
        </w:rPr>
      </w:pPr>
      <w:r>
        <w:rPr>
          <w:szCs w:val="26"/>
        </w:rPr>
        <w:t>- Các thông số đầu vào khác: Lãi vay, thời gian vay; tỷ lệ lạm phát; tỷ giá; tỷ lệ khấu hao và các thông số khác.</w:t>
      </w:r>
    </w:p>
    <w:p>
      <w:pPr>
        <w:pStyle w:val="Normal"/>
        <w:spacing w:before="0" w:after="120"/>
        <w:ind w:firstLine="720"/>
        <w:jc w:val="both"/>
        <w:rPr>
          <w:szCs w:val="26"/>
        </w:rPr>
      </w:pPr>
      <w:r>
        <w:rPr>
          <w:szCs w:val="26"/>
        </w:rPr>
        <w:t>2. Phương án tài chính của dự án</w:t>
      </w:r>
    </w:p>
    <w:p>
      <w:pPr>
        <w:pStyle w:val="Normal"/>
        <w:spacing w:before="0" w:after="120"/>
        <w:ind w:firstLine="720"/>
        <w:jc w:val="both"/>
        <w:rPr>
          <w:szCs w:val="26"/>
        </w:rPr>
      </w:pPr>
      <w:r>
        <w:rPr>
          <w:szCs w:val="26"/>
        </w:rPr>
        <w:t>Trình bày nội dung phương án tài chính (nội dung chi tiết thực hiện theo hướng dẫn của Chính phủ tại Nghị định quy định chi tiết cơ chế tài chính trong dự án PPP), bao gồm:</w:t>
      </w:r>
    </w:p>
    <w:p>
      <w:pPr>
        <w:pStyle w:val="Normal"/>
        <w:spacing w:before="0" w:after="120"/>
        <w:ind w:firstLine="720"/>
        <w:jc w:val="both"/>
        <w:rPr>
          <w:szCs w:val="26"/>
        </w:rPr>
      </w:pPr>
      <w:r>
        <w:rPr>
          <w:szCs w:val="26"/>
        </w:rPr>
        <w:t>- Tổng mức đầu tư: Trên cơ sở các thuyết minh về kỹ thuật được lựa chọn, BCKTKT xác định tổng mức đầu tư của dự án (nếu có).</w:t>
      </w:r>
    </w:p>
    <w:p>
      <w:pPr>
        <w:pStyle w:val="Normal"/>
        <w:spacing w:before="0" w:after="120"/>
        <w:ind w:firstLine="720"/>
        <w:jc w:val="both"/>
        <w:rPr>
          <w:szCs w:val="26"/>
        </w:rPr>
      </w:pPr>
      <w:r>
        <w:rPr>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pStyle w:val="Normal"/>
        <w:spacing w:before="0" w:after="120"/>
        <w:ind w:firstLine="720"/>
        <w:jc w:val="both"/>
        <w:rPr>
          <w:szCs w:val="26"/>
        </w:rPr>
      </w:pPr>
      <w:r>
        <w:rPr>
          <w:szCs w:val="26"/>
        </w:rPr>
        <w:t>- Vốn nhà nước tham gia trong dự án dự kiến (nếu có), cụ thể bao gồm:</w:t>
      </w:r>
    </w:p>
    <w:p>
      <w:pPr>
        <w:pStyle w:val="Normal"/>
        <w:spacing w:before="0" w:after="120"/>
        <w:ind w:firstLine="720"/>
        <w:jc w:val="both"/>
        <w:rPr>
          <w:szCs w:val="26"/>
        </w:rPr>
      </w:pPr>
      <w:r>
        <w:rPr>
          <w:szCs w:val="26"/>
        </w:rPr>
        <w:t>+ Vốn hỗ trợ xây dựng công trình, hệ thống cơ sở hạ tầng thuộc dự án PPP: vốn đầu tư công;</w:t>
      </w:r>
    </w:p>
    <w:p>
      <w:pPr>
        <w:pStyle w:val="Normal"/>
        <w:spacing w:before="0" w:after="120"/>
        <w:ind w:firstLine="720"/>
        <w:jc w:val="both"/>
        <w:rPr>
          <w:szCs w:val="26"/>
        </w:rPr>
      </w:pPr>
      <w:r>
        <w:rPr>
          <w:szCs w:val="26"/>
        </w:rPr>
        <w:t>+ Vốn thanh toán (bao gồm phương thức thanh toán) cho nhà đầu tư thực hiện dự án áp dụng loại hợp đồng BTL, BLT;</w:t>
      </w:r>
    </w:p>
    <w:p>
      <w:pPr>
        <w:pStyle w:val="Normal"/>
        <w:spacing w:before="0" w:after="120"/>
        <w:ind w:firstLine="720"/>
        <w:jc w:val="both"/>
        <w:rPr>
          <w:szCs w:val="26"/>
        </w:rPr>
      </w:pPr>
      <w:r>
        <w:rPr>
          <w:szCs w:val="26"/>
        </w:rPr>
        <w:t>+ Vốn nhà nước để chi trả kinh phí bồi thường, giải phóng mặt bằng, hỗ trợ tái định cư, hỗ trợ xây dựng công trình tạm.</w:t>
      </w:r>
    </w:p>
    <w:p>
      <w:pPr>
        <w:pStyle w:val="Normal"/>
        <w:spacing w:before="0" w:after="120"/>
        <w:ind w:firstLine="720"/>
        <w:jc w:val="both"/>
        <w:rPr>
          <w:szCs w:val="26"/>
        </w:rPr>
      </w:pPr>
      <w:r>
        <w:rPr>
          <w:szCs w:val="26"/>
        </w:rPr>
        <w:t>- Phương án thu hồi vốn đầu tư và lợi nhuận của nhà đầu tư đối với dự án áp dụng loại hợp đồng BOT, BTO, BOO và O&amp;M.</w:t>
      </w:r>
    </w:p>
    <w:p>
      <w:pPr>
        <w:pStyle w:val="Normal"/>
        <w:spacing w:before="0" w:after="120"/>
        <w:ind w:firstLine="720"/>
        <w:jc w:val="both"/>
        <w:rPr>
          <w:szCs w:val="26"/>
        </w:rPr>
      </w:pPr>
      <w:r>
        <w:rPr>
          <w:szCs w:val="26"/>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pPr>
        <w:pStyle w:val="Normal"/>
        <w:spacing w:before="0" w:after="120"/>
        <w:ind w:firstLine="720"/>
        <w:jc w:val="both"/>
        <w:rPr>
          <w:szCs w:val="26"/>
        </w:rPr>
      </w:pPr>
      <w:r>
        <w:rPr>
          <w:szCs w:val="26"/>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pPr>
        <w:pStyle w:val="Normal"/>
        <w:spacing w:before="0" w:after="120"/>
        <w:ind w:firstLine="720"/>
        <w:jc w:val="both"/>
        <w:rPr>
          <w:szCs w:val="26"/>
        </w:rPr>
      </w:pPr>
      <w:r>
        <w:rPr>
          <w:szCs w:val="26"/>
        </w:rPr>
        <w:t>- Đề xuất ưu đãi đảm bảo phương án tài chính của dự án (nếu có).</w:t>
      </w:r>
    </w:p>
    <w:p>
      <w:pPr>
        <w:pStyle w:val="Normal"/>
        <w:spacing w:before="0" w:after="120"/>
        <w:ind w:firstLine="720"/>
        <w:jc w:val="both"/>
        <w:rPr>
          <w:szCs w:val="26"/>
        </w:rPr>
      </w:pPr>
      <w:r>
        <w:rPr>
          <w:szCs w:val="26"/>
        </w:rPr>
        <w:t>- Dự kiến các khoản chi phí của dự án trong thời gian vận hành.</w:t>
      </w:r>
    </w:p>
    <w:p>
      <w:pPr>
        <w:pStyle w:val="Normal"/>
        <w:spacing w:before="0" w:after="120"/>
        <w:ind w:firstLine="720"/>
        <w:jc w:val="both"/>
        <w:rPr>
          <w:szCs w:val="26"/>
        </w:rPr>
      </w:pPr>
      <w:r>
        <w:rPr>
          <w:szCs w:val="26"/>
        </w:rPr>
        <w:t>- Các thông số đầu vào, chỉ tiêu tài chính.</w:t>
      </w:r>
    </w:p>
    <w:p>
      <w:pPr>
        <w:pStyle w:val="Normal"/>
        <w:spacing w:before="0" w:after="120"/>
        <w:ind w:firstLine="720"/>
        <w:jc w:val="both"/>
        <w:rPr>
          <w:szCs w:val="26"/>
        </w:rPr>
      </w:pPr>
      <w:r>
        <w:rPr>
          <w:szCs w:val="26"/>
        </w:rPr>
        <w:t>3. Dự báo nhu cầu</w:t>
      </w:r>
    </w:p>
    <w:p>
      <w:pPr>
        <w:pStyle w:val="Normal"/>
        <w:spacing w:before="0" w:after="120"/>
        <w:ind w:firstLine="720"/>
        <w:jc w:val="both"/>
        <w:rPr>
          <w:szCs w:val="26"/>
        </w:rPr>
      </w:pPr>
      <w:r>
        <w:rPr>
          <w:szCs w:val="26"/>
        </w:rPr>
        <w:t>BCKTKT phân tích nhu cầu sử dụng công trình, hệ thống cơ sở hạ tầng của dự án, sản phẩm, dịch vụ công được cung cấp; dự báo tốc độ tăng trưởng nhu cầu trong tương lai, cụ thể:</w:t>
      </w:r>
    </w:p>
    <w:p>
      <w:pPr>
        <w:pStyle w:val="Normal"/>
        <w:spacing w:before="0" w:after="120"/>
        <w:ind w:firstLine="720"/>
        <w:jc w:val="both"/>
        <w:rPr>
          <w:szCs w:val="26"/>
        </w:rPr>
      </w:pPr>
      <w:r>
        <w:rPr>
          <w:szCs w:val="26"/>
        </w:rPr>
        <w:t>- Phân tích nhu cầu hiện tại: Căn cứ hiện trạng dự án, quy mô, công suất dự án, xác định số lượng đối tượng hưởng lợi từ dự án.</w:t>
      </w:r>
    </w:p>
    <w:p>
      <w:pPr>
        <w:pStyle w:val="Normal"/>
        <w:spacing w:before="0" w:after="120"/>
        <w:ind w:firstLine="720"/>
        <w:jc w:val="both"/>
        <w:rPr>
          <w:szCs w:val="26"/>
        </w:rPr>
      </w:pPr>
      <w:r>
        <w:rPr>
          <w:szCs w:val="26"/>
        </w:rPr>
        <w:t>- Dự báo nhu cầu tương lai: Xây dựng các kịch bản về nhu cầu (tối đa, trung bình, tối thiểu) trong suốt vòng đời dự án.</w:t>
      </w:r>
    </w:p>
    <w:p>
      <w:pPr>
        <w:pStyle w:val="Normal"/>
        <w:spacing w:before="0" w:after="120"/>
        <w:ind w:firstLine="720"/>
        <w:jc w:val="both"/>
        <w:rPr>
          <w:szCs w:val="26"/>
        </w:rPr>
      </w:pPr>
      <w:r>
        <w:rPr>
          <w:szCs w:val="26"/>
        </w:rPr>
        <w:t>- Phân tích khả năng chi trả của cộng đồng người sử dụng, tổ chức bao tiêu đối với dự án áp dụng loại hợp đồng BOT, BTO, BOO, O&amp;M.</w:t>
      </w:r>
    </w:p>
    <w:p>
      <w:pPr>
        <w:pStyle w:val="Normal"/>
        <w:spacing w:before="0" w:after="120"/>
        <w:ind w:firstLine="720"/>
        <w:jc w:val="both"/>
        <w:rPr>
          <w:szCs w:val="26"/>
        </w:rPr>
      </w:pPr>
      <w:r>
        <w:rPr>
          <w:szCs w:val="26"/>
        </w:rPr>
        <w:t>4. Các chỉ tiêu tài chính xem xét tính khả thi của dự án</w:t>
      </w:r>
    </w:p>
    <w:p>
      <w:pPr>
        <w:pStyle w:val="Normal"/>
        <w:spacing w:before="0" w:after="120"/>
        <w:ind w:firstLine="720"/>
        <w:jc w:val="both"/>
        <w:rPr>
          <w:szCs w:val="26"/>
        </w:rPr>
      </w:pPr>
      <w:r>
        <w:rPr>
          <w:szCs w:val="26"/>
        </w:rPr>
        <w:t>Căn cứ nội dung phương án tài chính và các thông số đầu vào của mô hình tài chính, tính khả thi về tài chính của dự án được xem xét trên cơ sở các chỉ tiêu tài chính sau:</w:t>
      </w:r>
    </w:p>
    <w:p>
      <w:pPr>
        <w:pStyle w:val="Normal"/>
        <w:spacing w:before="0" w:after="120"/>
        <w:ind w:firstLine="720"/>
        <w:jc w:val="both"/>
        <w:rPr>
          <w:szCs w:val="26"/>
        </w:rPr>
      </w:pPr>
      <w:r>
        <w:rPr>
          <w:szCs w:val="26"/>
        </w:rP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pPr>
        <w:pStyle w:val="Normal"/>
        <w:spacing w:before="0" w:after="120"/>
        <w:ind w:firstLine="720"/>
        <w:jc w:val="both"/>
        <w:rPr>
          <w:szCs w:val="26"/>
        </w:rPr>
      </w:pPr>
      <w:r>
        <w:rPr/>
        <w:drawing>
          <wp:inline distT="0" distB="0" distL="0" distR="0">
            <wp:extent cx="1438910" cy="590550"/>
            <wp:effectExtent l="0" t="0" r="0" b="0"/>
            <wp:docPr id="4" name="Ản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Ảnh4"/>
                    <pic:cNvPicPr>
                      <a:picLocks noChangeAspect="1" noChangeArrowheads="1"/>
                    </pic:cNvPicPr>
                  </pic:nvPicPr>
                  <pic:blipFill>
                    <a:blip r:embed="rId5"/>
                    <a:stretch>
                      <a:fillRect/>
                    </a:stretch>
                  </pic:blipFill>
                  <pic:spPr bwMode="auto">
                    <a:xfrm>
                      <a:off x="0" y="0"/>
                      <a:ext cx="1438910" cy="590550"/>
                    </a:xfrm>
                    <a:prstGeom prst="rect">
                      <a:avLst/>
                    </a:prstGeom>
                    <a:noFill/>
                  </pic:spPr>
                </pic:pic>
              </a:graphicData>
            </a:graphic>
          </wp:inline>
        </w:drawing>
      </w:r>
    </w:p>
    <w:p>
      <w:pPr>
        <w:pStyle w:val="Normal"/>
        <w:spacing w:before="0" w:after="120"/>
        <w:ind w:firstLine="720"/>
        <w:jc w:val="both"/>
        <w:rPr>
          <w:szCs w:val="26"/>
        </w:rPr>
      </w:pPr>
      <w:r>
        <w:rPr>
          <w:szCs w:val="26"/>
        </w:rPr>
        <w:t>Trong đó:</w:t>
      </w:r>
    </w:p>
    <w:p>
      <w:pPr>
        <w:pStyle w:val="Normal"/>
        <w:spacing w:before="0" w:after="120"/>
        <w:ind w:firstLine="720"/>
        <w:jc w:val="both"/>
        <w:rPr>
          <w:szCs w:val="26"/>
        </w:rPr>
      </w:pPr>
      <w:r>
        <w:rPr>
          <w:szCs w:val="26"/>
        </w:rPr>
        <w:t>CF</w:t>
      </w:r>
      <w:r>
        <w:rPr>
          <w:szCs w:val="26"/>
          <w:vertAlign w:val="subscript"/>
        </w:rPr>
        <w:t>t</w:t>
      </w:r>
      <w:r>
        <w:rPr>
          <w:szCs w:val="26"/>
        </w:rPr>
        <w:t>: giá trị dòng tiền thuần là khoản chênh lệch giữa số tiền thu được (dòng tiền vào) và số tiền chi ra (dòng tiền ra) của dự án tại năm thứ t;</w:t>
      </w:r>
    </w:p>
    <w:p>
      <w:pPr>
        <w:pStyle w:val="Normal"/>
        <w:spacing w:before="0" w:after="120"/>
        <w:ind w:firstLine="720"/>
        <w:jc w:val="both"/>
        <w:rPr>
          <w:szCs w:val="26"/>
        </w:rPr>
      </w:pPr>
      <w:r>
        <w:rPr>
          <w:szCs w:val="26"/>
        </w:rPr>
        <w:t>t: năm trong vòng đời dự án (0, 1, 2,..., n);</w:t>
      </w:r>
    </w:p>
    <w:p>
      <w:pPr>
        <w:pStyle w:val="Normal"/>
        <w:spacing w:before="0" w:after="120"/>
        <w:ind w:firstLine="720"/>
        <w:jc w:val="both"/>
        <w:rPr>
          <w:szCs w:val="26"/>
        </w:rPr>
      </w:pPr>
      <w:r>
        <w:rPr>
          <w:szCs w:val="26"/>
        </w:rPr>
        <w:t>n: số năm hoạt động của dự án (thời gian hợp đồng dự án);</w:t>
      </w:r>
    </w:p>
    <w:p>
      <w:pPr>
        <w:pStyle w:val="Normal"/>
        <w:spacing w:before="0" w:after="120"/>
        <w:ind w:firstLine="720"/>
        <w:jc w:val="both"/>
        <w:rPr>
          <w:szCs w:val="26"/>
        </w:rPr>
      </w:pPr>
      <w:r>
        <w:rPr>
          <w:szCs w:val="26"/>
        </w:rPr>
        <w:t>r: tỷ suất chiết khấu.</w:t>
      </w:r>
    </w:p>
    <w:p>
      <w:pPr>
        <w:pStyle w:val="Normal"/>
        <w:spacing w:before="0" w:after="120"/>
        <w:ind w:firstLine="720"/>
        <w:jc w:val="both"/>
        <w:rPr>
          <w:szCs w:val="26"/>
        </w:rPr>
      </w:pPr>
      <w:r>
        <w:rPr>
          <w:szCs w:val="26"/>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pPr>
        <w:pStyle w:val="Normal"/>
        <w:spacing w:before="0" w:after="120"/>
        <w:ind w:firstLine="720"/>
        <w:jc w:val="both"/>
        <w:rPr>
          <w:szCs w:val="26"/>
        </w:rPr>
      </w:pPr>
      <w:r>
        <w:rPr/>
        <w:drawing>
          <wp:inline distT="0" distB="0" distL="0" distR="0">
            <wp:extent cx="2272030" cy="727710"/>
            <wp:effectExtent l="0" t="0" r="0" b="0"/>
            <wp:docPr id="5" name="Ản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Ảnh5"/>
                    <pic:cNvPicPr>
                      <a:picLocks noChangeAspect="1" noChangeArrowheads="1"/>
                    </pic:cNvPicPr>
                  </pic:nvPicPr>
                  <pic:blipFill>
                    <a:blip r:embed="rId6"/>
                    <a:stretch>
                      <a:fillRect/>
                    </a:stretch>
                  </pic:blipFill>
                  <pic:spPr bwMode="auto">
                    <a:xfrm>
                      <a:off x="0" y="0"/>
                      <a:ext cx="2272030" cy="727710"/>
                    </a:xfrm>
                    <a:prstGeom prst="rect">
                      <a:avLst/>
                    </a:prstGeom>
                    <a:noFill/>
                  </pic:spPr>
                </pic:pic>
              </a:graphicData>
            </a:graphic>
          </wp:inline>
        </w:drawing>
      </w:r>
    </w:p>
    <w:p>
      <w:pPr>
        <w:pStyle w:val="Normal"/>
        <w:spacing w:before="0" w:after="120"/>
        <w:ind w:firstLine="720"/>
        <w:jc w:val="both"/>
        <w:rPr>
          <w:szCs w:val="26"/>
        </w:rPr>
      </w:pPr>
      <w:r>
        <w:rPr>
          <w:szCs w:val="26"/>
        </w:rPr>
        <w:t>Trong đó: CF</w:t>
      </w:r>
      <w:r>
        <w:rPr>
          <w:szCs w:val="26"/>
          <w:vertAlign w:val="subscript"/>
        </w:rPr>
        <w:t>t</w:t>
      </w:r>
      <w:r>
        <w:rPr>
          <w:szCs w:val="26"/>
        </w:rPr>
        <w:t>, t, n có ý nghĩa tương tự như trong công thức tính NPV nêu trên.</w:t>
      </w:r>
    </w:p>
    <w:p>
      <w:pPr>
        <w:pStyle w:val="Normal"/>
        <w:spacing w:before="0" w:after="120"/>
        <w:ind w:firstLine="720"/>
        <w:jc w:val="both"/>
        <w:rPr>
          <w:szCs w:val="26"/>
        </w:rPr>
      </w:pPr>
      <w:r>
        <w:rPr>
          <w:szCs w:val="26"/>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pPr>
        <w:pStyle w:val="Normal"/>
        <w:spacing w:before="0" w:after="120"/>
        <w:ind w:firstLine="720"/>
        <w:jc w:val="both"/>
        <w:rPr>
          <w:szCs w:val="26"/>
        </w:rPr>
      </w:pPr>
      <w:r>
        <w:rPr>
          <w:szCs w:val="26"/>
        </w:rPr>
        <w:t>Căn cứ điều kiện cụ thể của từng dự án, BCKTKT bổ sung các chỉ tiêu đánh giá tính khả thi của phương án tài chính theo quy định tại Nghị định cơ chế quản lý tài chính dự án PPP.</w:t>
      </w:r>
    </w:p>
    <w:p>
      <w:pPr>
        <w:pStyle w:val="Normal"/>
        <w:spacing w:before="0" w:after="120"/>
        <w:ind w:firstLine="720"/>
        <w:jc w:val="both"/>
        <w:rPr>
          <w:szCs w:val="26"/>
        </w:rPr>
      </w:pPr>
      <w:r>
        <w:rPr>
          <w:szCs w:val="26"/>
        </w:rPr>
        <w:t>5. Kết luận về tính khả thi tài chính của dự án</w:t>
      </w:r>
    </w:p>
    <w:p>
      <w:pPr>
        <w:pStyle w:val="Normal"/>
        <w:spacing w:before="0" w:after="120"/>
        <w:ind w:firstLine="720"/>
        <w:jc w:val="both"/>
        <w:rPr>
          <w:szCs w:val="26"/>
        </w:rPr>
      </w:pPr>
      <w:r>
        <w:rPr>
          <w:szCs w:val="26"/>
        </w:rPr>
        <w:t>Trên cơ sở các phân tích tại các Mục nêu trên, căn cứ tính chất của từng loại hợp đồng dự án, nêu kết luận về tính khả thi tài chính của dự án.</w:t>
      </w:r>
    </w:p>
    <w:p>
      <w:pPr>
        <w:pStyle w:val="Normal"/>
        <w:spacing w:before="0" w:after="120"/>
        <w:ind w:firstLine="720"/>
        <w:jc w:val="both"/>
        <w:rPr>
          <w:szCs w:val="26"/>
        </w:rPr>
      </w:pPr>
      <w:r>
        <w:rPr>
          <w:szCs w:val="26"/>
        </w:rPr>
        <w:t>6. Quản lý và sử dụng vốn nhà nước trong dự án PPP</w:t>
      </w:r>
    </w:p>
    <w:p>
      <w:pPr>
        <w:pStyle w:val="Normal"/>
        <w:spacing w:before="0" w:after="120"/>
        <w:ind w:firstLine="720"/>
        <w:jc w:val="both"/>
        <w:rPr>
          <w:szCs w:val="26"/>
        </w:rPr>
      </w:pPr>
      <w:r>
        <w:rPr>
          <w:szCs w:val="26"/>
        </w:rPr>
        <w:t>Căn cứ kết quả phân tích hiệu quả kinh tế - xã hội và phương án tài chính của dự án, thuyết minh các nội dung có liên quan đến việc quản lý và sử dụng vốn nhà nước trong dự án PPP, bao gồm:</w:t>
      </w:r>
    </w:p>
    <w:p>
      <w:pPr>
        <w:pStyle w:val="Normal"/>
        <w:spacing w:before="0" w:after="120"/>
        <w:ind w:firstLine="720"/>
        <w:jc w:val="both"/>
        <w:rPr>
          <w:szCs w:val="26"/>
        </w:rPr>
      </w:pPr>
      <w:r>
        <w:rPr>
          <w:szCs w:val="26"/>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pPr>
        <w:pStyle w:val="Normal"/>
        <w:spacing w:before="0" w:after="120"/>
        <w:ind w:firstLine="720"/>
        <w:jc w:val="both"/>
        <w:rPr>
          <w:szCs w:val="26"/>
        </w:rPr>
      </w:pPr>
      <w:r>
        <w:rPr>
          <w:szCs w:val="26"/>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pPr>
        <w:pStyle w:val="Normal"/>
        <w:spacing w:before="0" w:after="120"/>
        <w:ind w:firstLine="720"/>
        <w:jc w:val="both"/>
        <w:rPr>
          <w:szCs w:val="26"/>
        </w:rPr>
      </w:pPr>
      <w:r>
        <w:rPr>
          <w:szCs w:val="26"/>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pPr>
        <w:pStyle w:val="Normal"/>
        <w:spacing w:before="0" w:after="120"/>
        <w:ind w:firstLine="720"/>
        <w:jc w:val="both"/>
        <w:rPr>
          <w:szCs w:val="26"/>
        </w:rPr>
      </w:pPr>
      <w:r>
        <w:rPr>
          <w:b/>
          <w:bCs/>
          <w:szCs w:val="26"/>
        </w:rPr>
        <w:t>IV. LOẠI HỢP ĐỒNG DỰ ÁN</w:t>
      </w:r>
    </w:p>
    <w:p>
      <w:pPr>
        <w:pStyle w:val="Normal"/>
        <w:spacing w:before="0" w:after="120"/>
        <w:ind w:firstLine="720"/>
        <w:jc w:val="both"/>
        <w:rPr>
          <w:szCs w:val="26"/>
        </w:rPr>
      </w:pPr>
      <w:r>
        <w:rPr>
          <w:szCs w:val="26"/>
        </w:rPr>
        <w:t>1. Căn cứ lựa chọn loại hợp đồng cho dự án</w:t>
      </w:r>
    </w:p>
    <w:p>
      <w:pPr>
        <w:pStyle w:val="Normal"/>
        <w:spacing w:before="0" w:after="120"/>
        <w:ind w:firstLine="720"/>
        <w:jc w:val="both"/>
        <w:rPr>
          <w:szCs w:val="26"/>
        </w:rPr>
      </w:pPr>
      <w:r>
        <w:rPr>
          <w:szCs w:val="26"/>
        </w:rPr>
        <w:t>BCKTKT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pPr>
        <w:pStyle w:val="Normal"/>
        <w:spacing w:before="0" w:after="120"/>
        <w:ind w:firstLine="720"/>
        <w:jc w:val="both"/>
        <w:rPr>
          <w:szCs w:val="26"/>
        </w:rPr>
      </w:pPr>
      <w:r>
        <w:rPr>
          <w:szCs w:val="26"/>
        </w:rPr>
        <w:t>- Phương án kỹ thuật, công nghệ.</w:t>
      </w:r>
    </w:p>
    <w:p>
      <w:pPr>
        <w:pStyle w:val="Normal"/>
        <w:spacing w:before="0" w:after="120"/>
        <w:ind w:firstLine="720"/>
        <w:jc w:val="both"/>
        <w:rPr>
          <w:szCs w:val="26"/>
        </w:rPr>
      </w:pPr>
      <w:r>
        <w:rPr>
          <w:szCs w:val="26"/>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pPr>
        <w:pStyle w:val="Normal"/>
        <w:spacing w:before="0" w:after="120"/>
        <w:ind w:firstLine="720"/>
        <w:jc w:val="both"/>
        <w:rPr>
          <w:szCs w:val="26"/>
        </w:rPr>
      </w:pPr>
      <w:r>
        <w:rPr>
          <w:szCs w:val="26"/>
        </w:rPr>
        <w:t>2. Trách nhiệm của các bên trong việc thực hiện hợp đồng dự án</w:t>
      </w:r>
    </w:p>
    <w:p>
      <w:pPr>
        <w:pStyle w:val="Normal"/>
        <w:spacing w:before="0" w:after="120"/>
        <w:ind w:firstLine="720"/>
        <w:jc w:val="both"/>
        <w:rPr>
          <w:szCs w:val="26"/>
        </w:rPr>
      </w:pPr>
      <w:r>
        <w:rPr>
          <w:szCs w:val="26"/>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pPr>
        <w:pStyle w:val="Normal"/>
        <w:spacing w:before="0" w:after="120"/>
        <w:ind w:firstLine="720"/>
        <w:jc w:val="both"/>
        <w:rPr>
          <w:szCs w:val="26"/>
        </w:rPr>
      </w:pPr>
      <w:r>
        <w:rPr>
          <w:szCs w:val="26"/>
        </w:rPr>
        <w:t>3. Phân tích các rủi ro chính của dự án</w:t>
      </w:r>
    </w:p>
    <w:p>
      <w:pPr>
        <w:pStyle w:val="Normal"/>
        <w:spacing w:before="0" w:after="120"/>
        <w:ind w:firstLine="720"/>
        <w:jc w:val="both"/>
        <w:rPr>
          <w:szCs w:val="26"/>
        </w:rPr>
      </w:pPr>
      <w:r>
        <w:rPr>
          <w:szCs w:val="26"/>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pPr>
        <w:pStyle w:val="Normal"/>
        <w:spacing w:before="0" w:after="120"/>
        <w:ind w:firstLine="720"/>
        <w:jc w:val="both"/>
        <w:rPr>
          <w:szCs w:val="26"/>
        </w:rPr>
      </w:pPr>
      <w:r>
        <w:rPr>
          <w:szCs w:val="26"/>
        </w:rPr>
        <w:t>4. Cơ chế phân bổ và quản lý rủi ro</w:t>
      </w:r>
    </w:p>
    <w:p>
      <w:pPr>
        <w:pStyle w:val="Normal"/>
        <w:spacing w:before="0" w:after="120"/>
        <w:ind w:firstLine="720"/>
        <w:jc w:val="both"/>
        <w:rPr>
          <w:szCs w:val="26"/>
        </w:rPr>
      </w:pPr>
      <w:r>
        <w:rPr>
          <w:szCs w:val="26"/>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pPr>
        <w:pStyle w:val="Normal"/>
        <w:spacing w:before="0" w:after="120"/>
        <w:ind w:firstLine="720"/>
        <w:jc w:val="both"/>
        <w:rPr>
          <w:szCs w:val="26"/>
        </w:rPr>
      </w:pPr>
      <w:r>
        <w:rPr>
          <w:b/>
          <w:bCs/>
          <w:szCs w:val="26"/>
        </w:rPr>
        <w:t>V. CÁC HÌNH THỨC ƯU ĐÃI, BẢO ĐẢM ĐẦU TƯ</w:t>
      </w:r>
    </w:p>
    <w:p>
      <w:pPr>
        <w:pStyle w:val="Normal"/>
        <w:spacing w:before="0" w:after="120"/>
        <w:ind w:firstLine="720"/>
        <w:jc w:val="both"/>
        <w:rPr>
          <w:szCs w:val="26"/>
        </w:rPr>
      </w:pPr>
      <w:r>
        <w:rPr>
          <w:szCs w:val="26"/>
        </w:rPr>
        <w:t>1. Ưu đãi, bảo đảm đầu tư</w:t>
      </w:r>
    </w:p>
    <w:p>
      <w:pPr>
        <w:pStyle w:val="Normal"/>
        <w:spacing w:before="0" w:after="120"/>
        <w:ind w:firstLine="720"/>
        <w:jc w:val="both"/>
        <w:rPr>
          <w:szCs w:val="26"/>
        </w:rPr>
      </w:pPr>
      <w:r>
        <w:rPr>
          <w:szCs w:val="26"/>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pPr>
        <w:pStyle w:val="Normal"/>
        <w:spacing w:before="0" w:after="120"/>
        <w:ind w:firstLine="720"/>
        <w:jc w:val="both"/>
        <w:rPr>
          <w:szCs w:val="26"/>
        </w:rPr>
      </w:pPr>
      <w:r>
        <w:rPr>
          <w:szCs w:val="26"/>
        </w:rPr>
        <w:t>2. Cơ chế chia sẻ phần giảm doanh thu</w:t>
      </w:r>
    </w:p>
    <w:p>
      <w:pPr>
        <w:pStyle w:val="Normal"/>
        <w:spacing w:before="0" w:after="120"/>
        <w:ind w:firstLine="720"/>
        <w:jc w:val="both"/>
        <w:rPr>
          <w:szCs w:val="26"/>
        </w:rPr>
      </w:pPr>
      <w:r>
        <w:rPr>
          <w:szCs w:val="26"/>
        </w:rPr>
        <w:t>Nêu rõ việc dự án được áp dụng cơ chế chia sẻ rủi ro; dự kiến nguồn vốn và khả năng cân đối nguồn vốn để xử lý rủi ro giảm doanh thu theo quyết định chủ trương đầu tư (nếu có).</w:t>
      </w:r>
    </w:p>
    <w:p>
      <w:pPr>
        <w:pStyle w:val="Normal"/>
        <w:spacing w:before="0" w:after="120"/>
        <w:ind w:firstLine="720"/>
        <w:jc w:val="both"/>
        <w:rPr>
          <w:szCs w:val="26"/>
        </w:rPr>
      </w:pPr>
      <w:r>
        <w:rPr>
          <w:b/>
          <w:bCs/>
          <w:szCs w:val="26"/>
        </w:rPr>
        <w:t>VI. KẾ HOẠCH TỔ CHỨC THỰC HIỆN DỰ ÁN</w:t>
      </w:r>
    </w:p>
    <w:p>
      <w:pPr>
        <w:pStyle w:val="Normal"/>
        <w:spacing w:before="0" w:after="120"/>
        <w:ind w:firstLine="720"/>
        <w:jc w:val="both"/>
        <w:rPr>
          <w:szCs w:val="26"/>
        </w:rPr>
      </w:pPr>
      <w:r>
        <w:rPr>
          <w:szCs w:val="26"/>
        </w:rPr>
        <w:t>1. Tổ chức lựa chọn nhà đầu tư (không áp dụng đối với dự án PPP quy định tại khoản 4 Điều 11 của Luật PPP)</w:t>
      </w:r>
    </w:p>
    <w:p>
      <w:pPr>
        <w:pStyle w:val="Normal"/>
        <w:spacing w:before="0" w:after="120"/>
        <w:ind w:firstLine="720"/>
        <w:jc w:val="both"/>
        <w:rPr>
          <w:szCs w:val="26"/>
        </w:rPr>
      </w:pPr>
      <w:r>
        <w:rPr>
          <w:szCs w:val="26"/>
        </w:rPr>
        <w:t>- Tên bên mời thầu.</w:t>
      </w:r>
    </w:p>
    <w:p>
      <w:pPr>
        <w:pStyle w:val="Normal"/>
        <w:spacing w:before="0" w:after="120"/>
        <w:ind w:firstLine="720"/>
        <w:jc w:val="both"/>
        <w:rPr>
          <w:szCs w:val="26"/>
        </w:rPr>
      </w:pPr>
      <w:r>
        <w:rPr>
          <w:szCs w:val="26"/>
        </w:rPr>
        <w:t>- Hình thức lựa chọn nhà đầu tư.</w:t>
      </w:r>
    </w:p>
    <w:p>
      <w:pPr>
        <w:pStyle w:val="Normal"/>
        <w:spacing w:before="0" w:after="120"/>
        <w:ind w:firstLine="720"/>
        <w:jc w:val="both"/>
        <w:rPr>
          <w:szCs w:val="26"/>
        </w:rPr>
      </w:pPr>
      <w:r>
        <w:rPr>
          <w:szCs w:val="26"/>
        </w:rPr>
        <w:t>- Thời gian tổng thể và các mốc thời gian dự kiến tổ chức lựa chọn nhà đầu tư (dạng bảng theo dõi tiến độ).</w:t>
      </w:r>
    </w:p>
    <w:tbl>
      <w:tblPr>
        <w:tblW w:w="5000" w:type="pct"/>
        <w:jc w:val="start"/>
        <w:tblInd w:w="0" w:type="dxa"/>
        <w:tblLayout w:type="fixed"/>
        <w:tblCellMar>
          <w:top w:w="40" w:type="dxa"/>
          <w:start w:w="80" w:type="dxa"/>
          <w:bottom w:w="40" w:type="dxa"/>
          <w:end w:w="80" w:type="dxa"/>
        </w:tblCellMar>
        <w:tblLook w:val="04a0" w:firstRow="1" w:noVBand="1" w:lastRow="0" w:firstColumn="1" w:lastColumn="0" w:noHBand="0"/>
      </w:tblPr>
      <w:tblGrid>
        <w:gridCol w:w="653"/>
        <w:gridCol w:w="2393"/>
        <w:gridCol w:w="885"/>
        <w:gridCol w:w="1061"/>
        <w:gridCol w:w="885"/>
        <w:gridCol w:w="1061"/>
        <w:gridCol w:w="1068"/>
        <w:gridCol w:w="1065"/>
      </w:tblGrid>
      <w:tr>
        <w:trPr>
          <w:cantSplit/>
        </w:trPr>
        <w:tc>
          <w:tcPr>
            <w:tcW w:w="653"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STT</w:t>
            </w:r>
          </w:p>
        </w:tc>
        <w:tc>
          <w:tcPr>
            <w:tcW w:w="2393"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Các hoạt động cơ bản trong lựa chọn nhà đầu tư</w:t>
            </w:r>
          </w:p>
        </w:tc>
        <w:tc>
          <w:tcPr>
            <w:tcW w:w="1946"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Thời gian thực hiện (theo kế hoạch)</w:t>
            </w:r>
          </w:p>
        </w:tc>
        <w:tc>
          <w:tcPr>
            <w:tcW w:w="1946"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Thời gian thực hiện (theo thực tế)</w:t>
            </w:r>
          </w:p>
        </w:tc>
        <w:tc>
          <w:tcPr>
            <w:tcW w:w="2133"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b/>
                <w:bCs/>
                <w:szCs w:val="26"/>
              </w:rPr>
            </w:pPr>
            <w:r>
              <w:rPr>
                <w:b/>
                <w:bCs/>
                <w:szCs w:val="26"/>
              </w:rPr>
              <w:t>Số ngày chênh lệch</w:t>
            </w:r>
          </w:p>
        </w:tc>
      </w:tr>
      <w:tr>
        <w:trPr>
          <w:cantSplit/>
        </w:trPr>
        <w:tc>
          <w:tcPr>
            <w:tcW w:w="653" w:type="dxa"/>
            <w:vMerge w:val="continue"/>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c>
          <w:tcPr>
            <w:tcW w:w="2393" w:type="dxa"/>
            <w:vMerge w:val="continue"/>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Số ngày</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Tổng số ngày (cộng dồn)</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Số ngày</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Tổng số ngày (cộng dồn)</w:t>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b/>
                <w:bCs/>
                <w:szCs w:val="26"/>
              </w:rPr>
              <w:t>Số ngày</w:t>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b/>
                <w:bCs/>
                <w:szCs w:val="26"/>
              </w:rPr>
            </w:pPr>
            <w:r>
              <w:rPr>
                <w:b/>
                <w:bCs/>
                <w:szCs w:val="26"/>
              </w:rPr>
              <w:t>Tổng số ngày (cộng dồn)</w:t>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[1]</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[2]</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[3]</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[4]</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[5]</w:t>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[6]</w:t>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t>[7]</w:t>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1</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Lập hồ sơ mời thầu, hồ sơ yêu cầu</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2</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Thẩm định hồ sơ mời thầu, hồ sơ yêu cầu (nếu có)</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3</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Phê duyệt hồ sơ mời thầu, hồ sơ yêu cầu</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4</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Đánh giá hồ sơ dự thầu, hồ sơ đề xuất</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5</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Nội dung tài chính khác (nếu có)</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6</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Phê duyệt danh sách nhà đầu tư đáp ứng yêu cầu về kỹ thuật (nếu có)</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7</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Thẩm định kết quả lựa chọn nhà đầu tư</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8</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Phê duyệt kết quả lựa chọn nhà đầu tư</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r>
        <w:trPr>
          <w:cantSplit/>
        </w:trPr>
        <w:tc>
          <w:tcPr>
            <w:tcW w:w="6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t>9</w:t>
            </w:r>
          </w:p>
        </w:tc>
        <w:tc>
          <w:tcPr>
            <w:tcW w:w="2393" w:type="dxa"/>
            <w:tcBorders>
              <w:top w:val="single" w:sz="4" w:space="0" w:color="000000"/>
              <w:start w:val="single" w:sz="4" w:space="0" w:color="000000"/>
              <w:bottom w:val="single" w:sz="4" w:space="0" w:color="000000"/>
              <w:end w:val="single" w:sz="4" w:space="0" w:color="000000"/>
            </w:tcBorders>
            <w:vAlign w:val="center"/>
          </w:tcPr>
          <w:p>
            <w:pPr>
              <w:pStyle w:val="Normal"/>
              <w:rPr>
                <w:szCs w:val="26"/>
              </w:rPr>
            </w:pPr>
            <w:r>
              <w:rPr>
                <w:szCs w:val="26"/>
              </w:rPr>
              <w:t>Các hoạt động khác (nếu có)</w:t>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88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Cs w:val="26"/>
              </w:rPr>
            </w:pPr>
            <w:r>
              <w:rPr>
                <w:szCs w:val="26"/>
              </w:rPr>
            </w:r>
          </w:p>
        </w:tc>
        <w:tc>
          <w:tcPr>
            <w:tcW w:w="1065" w:type="dxa"/>
            <w:tcBorders>
              <w:top w:val="single" w:sz="4" w:space="0" w:color="000000"/>
              <w:start w:val="single" w:sz="4" w:space="0" w:color="000000"/>
              <w:bottom w:val="single" w:sz="4" w:space="0" w:color="000000"/>
              <w:end w:val="single" w:sz="4" w:space="0" w:color="000000"/>
            </w:tcBorders>
            <w:tcMar>
              <w:top w:w="0" w:type="dxa"/>
              <w:start w:w="10" w:type="dxa"/>
              <w:bottom w:w="0" w:type="dxa"/>
              <w:end w:w="10" w:type="dxa"/>
            </w:tcMar>
            <w:vAlign w:val="center"/>
          </w:tcPr>
          <w:p>
            <w:pPr>
              <w:pStyle w:val="Normal"/>
              <w:jc w:val="center"/>
              <w:rPr>
                <w:szCs w:val="26"/>
              </w:rPr>
            </w:pPr>
            <w:r>
              <w:rPr>
                <w:szCs w:val="26"/>
              </w:rPr>
            </w:r>
          </w:p>
        </w:tc>
      </w:tr>
    </w:tbl>
    <w:p>
      <w:pPr>
        <w:pStyle w:val="Normal"/>
        <w:spacing w:before="0" w:after="120"/>
        <w:ind w:firstLine="720"/>
        <w:jc w:val="both"/>
        <w:rPr>
          <w:szCs w:val="26"/>
        </w:rPr>
      </w:pPr>
      <w:r>
        <w:rPr>
          <w:szCs w:val="26"/>
        </w:rPr>
      </w:r>
    </w:p>
    <w:p>
      <w:pPr>
        <w:pStyle w:val="Normal"/>
        <w:spacing w:before="0" w:after="120"/>
        <w:ind w:firstLine="720"/>
        <w:jc w:val="both"/>
        <w:rPr>
          <w:szCs w:val="26"/>
        </w:rPr>
      </w:pPr>
      <w:r>
        <w:rPr>
          <w:szCs w:val="26"/>
        </w:rPr>
        <w:t>2. Kế hoạch thực hiện hợp đồng dự án</w:t>
      </w:r>
    </w:p>
    <w:p>
      <w:pPr>
        <w:pStyle w:val="Normal"/>
        <w:spacing w:before="0" w:after="120"/>
        <w:ind w:firstLine="720"/>
        <w:jc w:val="both"/>
        <w:rPr>
          <w:szCs w:val="26"/>
        </w:rPr>
      </w:pPr>
      <w:r>
        <w:rPr>
          <w:szCs w:val="26"/>
        </w:rPr>
        <w:t>- Đề xuất cơ quan thực hiện việc ký kết và thực hiện hợp đồng.</w:t>
      </w:r>
    </w:p>
    <w:p>
      <w:pPr>
        <w:pStyle w:val="Normal"/>
        <w:spacing w:before="0" w:after="120"/>
        <w:ind w:firstLine="720"/>
        <w:jc w:val="both"/>
        <w:rPr>
          <w:szCs w:val="26"/>
        </w:rPr>
      </w:pPr>
      <w:r>
        <w:rPr>
          <w:szCs w:val="26"/>
        </w:rPr>
        <w:t>- Thời gian đàm phán và ký kết hợp đồng dự án với nhà đầu tư, doanh nghiệp dự án; đóng tài chính của dự án và hợp đồng dự án bắt đầu có hiệu lực.</w:t>
      </w:r>
    </w:p>
    <w:p>
      <w:pPr>
        <w:pStyle w:val="Normal"/>
        <w:spacing w:before="0" w:after="120"/>
        <w:ind w:firstLine="720"/>
        <w:jc w:val="both"/>
        <w:rPr>
          <w:szCs w:val="26"/>
        </w:rPr>
      </w:pPr>
      <w:r>
        <w:rPr>
          <w:szCs w:val="26"/>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pPr>
        <w:pStyle w:val="Normal"/>
        <w:spacing w:before="0" w:after="120"/>
        <w:ind w:firstLine="720"/>
        <w:jc w:val="both"/>
        <w:rPr>
          <w:szCs w:val="26"/>
        </w:rPr>
      </w:pPr>
      <w:r>
        <w:rPr>
          <w:szCs w:val="26"/>
        </w:rPr>
        <w:t>- Trường hợp dự án phải phân kỳ để giảm sự phức tạp của việc đầu tư hoặc tăng tính khả thi về tài chính và sự hấp dẫn của dự án, BCKTKT phân tích nguyên nhân, dự kiến kế hoạch phân kỳ và trình bày các phương pháp thực hiện.</w:t>
      </w:r>
    </w:p>
    <w:p>
      <w:pPr>
        <w:pStyle w:val="Normal"/>
        <w:spacing w:before="0" w:after="120"/>
        <w:ind w:firstLine="720"/>
        <w:jc w:val="both"/>
        <w:rPr>
          <w:szCs w:val="26"/>
        </w:rPr>
      </w:pPr>
      <w:r>
        <w:rPr>
          <w:szCs w:val="26"/>
        </w:rPr>
        <w:t>3. Nguyên tắc xử lý các chi phí trong quá trình chuẩn bị dự án do nhà đầu tư lập báo cáo kinh tế - kỹ thuật đầu tư xây dựng như sau:</w:t>
      </w:r>
    </w:p>
    <w:p>
      <w:pPr>
        <w:pStyle w:val="Normal"/>
        <w:spacing w:before="0" w:after="120"/>
        <w:ind w:firstLine="720"/>
        <w:jc w:val="both"/>
        <w:rPr>
          <w:szCs w:val="26"/>
        </w:rPr>
      </w:pPr>
      <w:r>
        <w:rPr>
          <w:szCs w:val="26"/>
        </w:rPr>
        <w:t>a) Trường hợp báo cáo kinh tế - kỹ thuật đầu tư xây dựng không được phê duyệt hoặc không lựa chọn được nhà đầu tư thực hiện dự án, nhà đầu tư chịu mọi rủi ro, chi phí.</w:t>
      </w:r>
    </w:p>
    <w:p>
      <w:pPr>
        <w:pStyle w:val="Normal"/>
        <w:spacing w:before="0" w:after="120"/>
        <w:ind w:firstLine="720"/>
        <w:jc w:val="both"/>
        <w:rPr>
          <w:szCs w:val="26"/>
        </w:rPr>
      </w:pPr>
      <w:r>
        <w:rPr>
          <w:szCs w:val="26"/>
        </w:rPr>
        <w:t>b) Trường hợp sau khi tổ chức lựa chọn nhà đầu tư, nhà đầu tư đề xuất dự án không được lựa chọn, chi phí lập báo cáo đề xuất chủ trương đầu tư, báo cáo kinh tế - kỹ thuật đầu tư xây dựng sẽ do nhà đầu tư được lựa chọn hoàn trả cho nhà đầu tư đề xuất.</w:t>
      </w:r>
    </w:p>
    <w:p>
      <w:pPr>
        <w:pStyle w:val="Normal"/>
        <w:spacing w:before="0" w:after="120"/>
        <w:ind w:firstLine="720"/>
        <w:jc w:val="both"/>
        <w:rPr>
          <w:szCs w:val="26"/>
        </w:rPr>
      </w:pPr>
      <w:r>
        <w:rPr>
          <w:szCs w:val="26"/>
        </w:rPr>
        <w:t>Trường hợp cần thiết, cơ quan, đơn vị tiếp nhận hồ sơ của nhà đầu tư ký kết văn bản thỏa thuận với nhà đầu tư lập báo cáo kinh tế - kỹ thuật đầu tư xây dựng về các nguyên tắc nêu tại mục này.</w:t>
      </w:r>
    </w:p>
    <w:p>
      <w:pPr>
        <w:pStyle w:val="Normal"/>
        <w:spacing w:before="0" w:after="120"/>
        <w:ind w:firstLine="720"/>
        <w:jc w:val="both"/>
        <w:rPr>
          <w:szCs w:val="26"/>
        </w:rPr>
      </w:pPr>
      <w:r>
        <w:rPr>
          <w:b/>
          <w:bCs/>
          <w:szCs w:val="26"/>
        </w:rPr>
        <w:t>Đ. KẾT LUẬN VÀ KIẾN NGHỊ</w:t>
      </w:r>
    </w:p>
    <w:p>
      <w:pPr>
        <w:pStyle w:val="Normal"/>
        <w:spacing w:before="0" w:after="120"/>
        <w:ind w:firstLine="720"/>
        <w:jc w:val="both"/>
        <w:rPr>
          <w:szCs w:val="26"/>
        </w:rPr>
      </w:pPr>
      <w:r>
        <w:rPr>
          <w:szCs w:val="26"/>
        </w:rPr>
        <w:t>Trình bày các nội dung kết luận chính của BCKTKT đã được phân tích ở trên, phù hợp, khả thi để triển khai đầu tư theo phương thức PPP. Theo đó, đưa ra kiến nghị cấp có thẩm quyền phê duyệt dự án hoặc các kiến nghị khác (nếu có).</w:t>
      </w:r>
    </w:p>
    <w:p>
      <w:pPr>
        <w:pStyle w:val="Normal"/>
        <w:spacing w:before="0" w:after="120"/>
        <w:ind w:firstLine="720"/>
        <w:jc w:val="both"/>
        <w:rPr>
          <w:b/>
          <w:bCs/>
          <w:szCs w:val="26"/>
        </w:rPr>
      </w:pPr>
      <w:r>
        <w:rPr>
          <w:b/>
          <w:bCs/>
          <w:szCs w:val="26"/>
        </w:rPr>
      </w:r>
    </w:p>
    <w:p>
      <w:pPr>
        <w:pStyle w:val="Normal"/>
        <w:rPr/>
      </w:pPr>
      <w:r>
        <w:rPr/>
      </w:r>
    </w:p>
    <w:sectPr>
      <w:type w:val="nextPage"/>
      <w:pgSz w:w="11906" w:h="16838"/>
      <w:pgMar w:left="1701" w:right="1134" w:gutter="0" w:header="0" w:top="1418" w:footer="0" w:bottom="1418"/>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roman"/>
    <w:pitch w:val="variable"/>
  </w:font>
  <w:font w:name="Aptos">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color w:themeColor="text1" w:val="000000"/>
        <w:kern w:val="2"/>
        <w:sz w:val="26"/>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Times New Roman" w:hAnsi="Times New Roman" w:eastAsia="Aptos" w:cs="" w:cstheme="minorBidi" w:eastAsiaTheme="minorHAnsi"/>
      <w:color w:themeColor="text1" w:val="000000"/>
      <w:kern w:val="2"/>
      <w:sz w:val="26"/>
      <w:szCs w:val="22"/>
      <w:lang w:val="en-US" w:eastAsia="en-US" w:bidi="ar-SA"/>
      <w14:ligatures w14:val="standardContextual"/>
    </w:rPr>
  </w:style>
  <w:style w:type="paragraph" w:styleId="Heading1">
    <w:name w:val="heading 1"/>
    <w:basedOn w:val="Normal"/>
    <w:next w:val="Normal"/>
    <w:link w:val="Heading1Char"/>
    <w:uiPriority w:val="9"/>
    <w:qFormat/>
    <w:rsid w:val="007e50f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7e50f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7e50ff"/>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7e50ff"/>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7e50ff"/>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7e50ff"/>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7e50ff"/>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7e50ff"/>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7e50ff"/>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7e50f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7e50f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uiPriority w:val="9"/>
    <w:semiHidden/>
    <w:qFormat/>
    <w:rsid w:val="007e50ff"/>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uiPriority w:val="9"/>
    <w:semiHidden/>
    <w:qFormat/>
    <w:rsid w:val="007e50ff"/>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uiPriority w:val="9"/>
    <w:semiHidden/>
    <w:qFormat/>
    <w:rsid w:val="007e50ff"/>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uiPriority w:val="9"/>
    <w:semiHidden/>
    <w:qFormat/>
    <w:rsid w:val="007e50ff"/>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uiPriority w:val="9"/>
    <w:semiHidden/>
    <w:qFormat/>
    <w:rsid w:val="007e50ff"/>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uiPriority w:val="9"/>
    <w:semiHidden/>
    <w:qFormat/>
    <w:rsid w:val="007e50ff"/>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uiPriority w:val="9"/>
    <w:semiHidden/>
    <w:qFormat/>
    <w:rsid w:val="007e50ff"/>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uiPriority w:val="10"/>
    <w:qFormat/>
    <w:rsid w:val="007e50ff"/>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uiPriority w:val="11"/>
    <w:qFormat/>
    <w:rsid w:val="007e50ff"/>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7e50ff"/>
    <w:rPr>
      <w:i/>
      <w:iCs/>
      <w:color w:themeColor="text1" w:themeTint="bf" w:val="404040"/>
    </w:rPr>
  </w:style>
  <w:style w:type="character" w:styleId="IntenseEmphasis">
    <w:name w:val="Intense Emphasis"/>
    <w:basedOn w:val="DefaultParagraphFont"/>
    <w:uiPriority w:val="21"/>
    <w:qFormat/>
    <w:rsid w:val="007e50ff"/>
    <w:rPr>
      <w:i/>
      <w:iCs/>
      <w:color w:themeColor="accent1" w:themeShade="bf" w:val="0F4761"/>
    </w:rPr>
  </w:style>
  <w:style w:type="character" w:styleId="IntenseQuoteChar" w:customStyle="1">
    <w:name w:val="Intense Quote Char"/>
    <w:basedOn w:val="DefaultParagraphFont"/>
    <w:link w:val="IntenseQuote"/>
    <w:uiPriority w:val="30"/>
    <w:qFormat/>
    <w:rsid w:val="007e50ff"/>
    <w:rPr>
      <w:i/>
      <w:iCs/>
      <w:color w:themeColor="accent1" w:themeShade="bf" w:val="0F4761"/>
    </w:rPr>
  </w:style>
  <w:style w:type="character" w:styleId="IntenseReference">
    <w:name w:val="Intense Reference"/>
    <w:basedOn w:val="DefaultParagraphFont"/>
    <w:uiPriority w:val="32"/>
    <w:qFormat/>
    <w:rsid w:val="007e50ff"/>
    <w:rPr>
      <w:b/>
      <w:bCs/>
      <w:smallCaps/>
      <w:color w:themeColor="accent1" w:themeShade="bf" w:val="0F4761"/>
      <w:spacing w:val="5"/>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tle">
    <w:name w:val="Title"/>
    <w:basedOn w:val="Normal"/>
    <w:next w:val="Normal"/>
    <w:link w:val="TitleChar"/>
    <w:uiPriority w:val="10"/>
    <w:qFormat/>
    <w:rsid w:val="007e50ff"/>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7e50ff"/>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7e50ff"/>
    <w:pPr>
      <w:spacing w:before="160" w:after="160"/>
      <w:jc w:val="center"/>
    </w:pPr>
    <w:rPr>
      <w:i/>
      <w:iCs/>
      <w:color w:themeColor="text1" w:themeTint="bf" w:val="404040"/>
    </w:rPr>
  </w:style>
  <w:style w:type="paragraph" w:styleId="ListParagraph">
    <w:name w:val="List Paragraph"/>
    <w:basedOn w:val="Normal"/>
    <w:uiPriority w:val="34"/>
    <w:qFormat/>
    <w:rsid w:val="007e50ff"/>
    <w:pPr>
      <w:spacing w:before="0" w:after="0"/>
      <w:ind w:start="720"/>
      <w:contextualSpacing/>
    </w:pPr>
    <w:rPr/>
  </w:style>
  <w:style w:type="paragraph" w:styleId="IntenseQuote">
    <w:name w:val="Intense Quote"/>
    <w:basedOn w:val="Normal"/>
    <w:next w:val="Normal"/>
    <w:link w:val="IntenseQuoteChar"/>
    <w:uiPriority w:val="30"/>
    <w:qFormat/>
    <w:rsid w:val="007e50f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LibreOffice/26.2.6.3$Windows_X86_64 LibreOffice_project/8221e31b3ac356a1623c672912a3d2b492f7e3d1</Application>
  <AppVersion>15.0000</AppVersion>
  <Pages>10</Pages>
  <Words>4636</Words>
  <Characters>15414</Characters>
  <CharactersWithSpaces>19862</CharactersWithSpaces>
  <Paragraphs>193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2026-10-03T01:37:00Z</dcterms:created>
  <dc:creator>Admin</dc:creator>
  <dc:description/>
  <dc:language>vi-VN</dc:language>
  <cp:lastModifiedBy>Admin</cp:lastModifiedBy>
  <dcterms:modified xsi:type="dcterms:W3CDTF">2026-10-03T01:37:00Z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