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20" w:rsidRPr="00001720" w:rsidRDefault="00001720" w:rsidP="00001720">
      <w:pPr>
        <w:widowControl/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bookmarkStart w:id="0" w:name="muc_2"/>
      <w:r w:rsidRPr="0000172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B.2 Ghi chép kết quả bảo dưỡng định kỳ, sửa chữa định kỳ, sửa chữa đột xuất</w:t>
      </w:r>
      <w:bookmarkEnd w:id="0"/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CHÉP KẾT QUẢ BẢO DƯỠNG ĐỊNH KỲ, SỬA CHỮA ĐỊNH KỲ, SỬA CHỮA ĐỘT XUẤT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1. Tên công trình: 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2. Tên đơn vị khai thác công trình: 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...............................................................................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3. Họ và tên cán bộ kỹ thuật phụ trách: 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........................................................................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4. Họ và tên cán bộ kỹ thuật giám sát: 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616"/>
        <w:gridCol w:w="1517"/>
        <w:gridCol w:w="1517"/>
        <w:gridCol w:w="1517"/>
        <w:gridCol w:w="1719"/>
        <w:gridCol w:w="1517"/>
      </w:tblGrid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Hạng mục thực hiện sửa chữa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Quyết định số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thực hiện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 công thực hiện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Khối lượng vật tư, vật liệu sử dụng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Đánh giá kết quả sửa chữa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(5)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Bảo dưỡng đ</w:t>
            </w: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ị</w:t>
            </w: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 kỳ, sửa chữa đ</w:t>
            </w: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ị</w:t>
            </w: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 kỳ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6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Sửa chữa đột xuất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1720" w:rsidRPr="00001720" w:rsidTr="0000172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4"/>
      </w:tblGrid>
      <w:tr w:rsidR="00001720" w:rsidRPr="00001720" w:rsidTr="0000172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PHỤ TRÁCH</w:t>
            </w: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Pr="0000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720" w:rsidRPr="00001720" w:rsidRDefault="00001720" w:rsidP="00001720">
            <w:pPr>
              <w:widowControl/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01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CÁN BỘ GIÁM SÁT</w:t>
            </w:r>
            <w:r w:rsidRPr="0000172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/>
            </w:r>
            <w:r w:rsidRPr="000017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b/>
          <w:bCs/>
          <w:color w:val="000000"/>
          <w:sz w:val="20"/>
          <w:szCs w:val="20"/>
        </w:rPr>
        <w:t>GHI CH</w:t>
      </w:r>
      <w:r w:rsidRPr="0000172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Ú</w:t>
      </w:r>
      <w:r w:rsidRPr="0000172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(1) Quyết định kế hoạch sửa chữa khi tổng kinh phí sửa chữa nh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ỏ</w:t>
      </w:r>
      <w:r w:rsidRPr="00001720">
        <w:rPr>
          <w:rFonts w:ascii="Arial" w:eastAsia="Times New Roman" w:hAnsi="Arial" w:cs="Arial"/>
          <w:color w:val="000000"/>
          <w:sz w:val="20"/>
          <w:szCs w:val="20"/>
        </w:rPr>
        <w:t> hơn 500 triệu đồng, hoặc quyết định phê duyệt Báo cáo kinh tế kỹ thuật hoặc dự án đầu tư sửa chữa công trình;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(2) Ghi rõ thời gian bắt đầu thực hiện và thời gian kết thúc công việc bảo dưỡng, sửa chữa cho từng hạng mục công trình;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(3) Ghi rõ số nhân lực tham gia gồm bao nhiêu cán bộ và tr</w:t>
      </w: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ì</w:t>
      </w:r>
      <w:r w:rsidRPr="00001720">
        <w:rPr>
          <w:rFonts w:ascii="Arial" w:eastAsia="Times New Roman" w:hAnsi="Arial" w:cs="Arial"/>
          <w:color w:val="000000"/>
          <w:sz w:val="20"/>
          <w:szCs w:val="20"/>
        </w:rPr>
        <w:t>nh độ kỹ thuật, bao nhiêu công nhân ...;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(4) Ghi rõ số lượng vật tư, vật liệu đã dùng để sửa chữa cho từng hạng mục;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</w:rPr>
        <w:t>(5) Phải mô tả kỹ về tình trạng của hạng mục công trình sau khi sửa chữa so với thiết kế.</w:t>
      </w:r>
    </w:p>
    <w:p w:rsidR="00001720" w:rsidRPr="00001720" w:rsidRDefault="00001720" w:rsidP="00001720">
      <w:pPr>
        <w:widowControl/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001720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:rsidR="008E2D97" w:rsidRPr="00C17A4B" w:rsidRDefault="008E2D97" w:rsidP="00C17A4B">
      <w:bookmarkStart w:id="1" w:name="_GoBack"/>
      <w:bookmarkEnd w:id="1"/>
    </w:p>
    <w:sectPr w:rsidR="008E2D97" w:rsidRPr="00C17A4B">
      <w:pgSz w:w="11900" w:h="16840"/>
      <w:pgMar w:top="720" w:right="1008" w:bottom="1440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260CC"/>
    <w:multiLevelType w:val="multilevel"/>
    <w:tmpl w:val="6234CE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4"/>
    <w:rsid w:val="00001720"/>
    <w:rsid w:val="000E0F04"/>
    <w:rsid w:val="008E2D97"/>
    <w:rsid w:val="00C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F5A10F-EDF5-4AF5-B871-CF647B2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/>
      <w:spacing w:before="240" w:after="60"/>
      <w:outlineLvl w:val="2"/>
    </w:pPr>
    <w:rPr>
      <w:rFonts w:ascii="Calibri" w:eastAsia="Calibri" w:hAnsi="Calibri" w:cs="Calibri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E2D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17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2024-11-16T03:56:00Z</dcterms:created>
  <dcterms:modified xsi:type="dcterms:W3CDTF">2024-11-16T03:56:00Z</dcterms:modified>
</cp:coreProperties>
</file>