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12" w:before="0" w:after="58"/>
        <w:jc w:val="center"/>
        <w:rPr/>
      </w:pPr>
      <w:r>
        <w:rPr>
          <w:rFonts w:cs="Times New Roman" w:ascii="Times New Roman" w:hAnsi="Times New Roman"/>
          <w:b/>
          <w:bCs/>
          <w:lang w:val="vi-VN"/>
        </w:rPr>
        <w:t>APPROVING THE PROGRAM FOR DEVELOPMENT OF 1,000 PIONEER ENTERPRISES FOR THE 2026-2030 PERIOD</w:t>
      </w:r>
    </w:p>
    <w:p>
      <w:pPr>
        <w:pStyle w:val="Normal"/>
        <w:spacing w:lineRule="auto" w:line="312" w:before="0" w:after="58"/>
        <w:jc w:val="left"/>
        <w:rPr/>
      </w:pPr>
      <w:r>
        <w:rPr>
          <w:rFonts w:cs="Times New Roman" w:ascii="Times New Roman" w:hAnsi="Times New Roman"/>
          <w:b/>
          <w:bCs/>
          <w:lang w:val="vi-VN"/>
        </w:rPr>
        <w:t>Question:</w:t>
      </w:r>
      <w:r>
        <w:rPr>
          <w:rFonts w:cs="Times New Roman" w:ascii="Times New Roman" w:hAnsi="Times New Roman"/>
          <w:lang w:val="vi-VN"/>
        </w:rPr>
        <w:t> </w:t>
      </w:r>
      <w:r>
        <w:rPr>
          <w:rFonts w:cs="Times New Roman" w:ascii="Times New Roman" w:hAnsi="Times New Roman"/>
          <w:i/>
          <w:iCs/>
          <w:lang w:val="vi-VN"/>
        </w:rPr>
        <w:t>"I am the director of an enterprise producing and processing high-tech agricultural products in Vietnam. Recently, I heard information that the Government promulgated a program to support 1,000 pioneer enterprises. May I ask what criteria my company needs to satisfy to participate, what the contents of State support are, and what we need to do to not miss this opportunity?"</w:t>
      </w:r>
    </w:p>
    <w:p>
      <w:pPr>
        <w:pStyle w:val="Normal"/>
        <w:spacing w:lineRule="auto" w:line="312" w:before="0" w:after="58"/>
        <w:jc w:val="left"/>
        <w:rPr/>
      </w:pPr>
      <w:r>
        <w:rPr>
          <w:rFonts w:cs="Times New Roman" w:ascii="Times New Roman" w:hAnsi="Times New Roman"/>
          <w:b/>
          <w:bCs/>
          <w:lang w:val="vi-VN"/>
        </w:rPr>
        <w:t>Answer:</w:t>
      </w:r>
      <w:r>
        <w:rPr>
          <w:rFonts w:cs="Times New Roman" w:ascii="Times New Roman" w:hAnsi="Times New Roman"/>
          <w:lang w:val="vi-VN"/>
        </w:rPr>
        <w:t> Below is the detailed advisory part regarding the Program for development of 1,000 pioneer enterprises for the 2026-2030 period according to Decision 631/QD-TTg (effective from 06/04/2026):</w:t>
      </w:r>
    </w:p>
    <w:p>
      <w:pPr>
        <w:pStyle w:val="Normal"/>
        <w:spacing w:lineRule="auto" w:line="312" w:before="0" w:after="58"/>
        <w:jc w:val="left"/>
        <w:rPr/>
      </w:pPr>
      <w:r>
        <w:rPr>
          <w:rFonts w:cs="Times New Roman" w:ascii="Times New Roman" w:hAnsi="Times New Roman"/>
          <w:b/>
          <w:bCs/>
          <w:lang w:val="vi-VN"/>
        </w:rPr>
        <w:t>1. Main contents:</w:t>
      </w:r>
      <w:r>
        <w:rPr>
          <w:rFonts w:cs="Times New Roman" w:ascii="Times New Roman" w:hAnsi="Times New Roman"/>
          <w:lang w:val="vi-VN"/>
        </w:rPr>
        <w:t> Decision 631/QD-TTg approves the Program aimed at building a team of typical private sector enterprises with technological capacity and international competitiveness, creating momentum for the economy. The core contents include:</w:t>
      </w:r>
    </w:p>
    <w:p>
      <w:pPr>
        <w:pStyle w:val="Normal"/>
        <w:numPr>
          <w:ilvl w:val="0"/>
          <w:numId w:val="1"/>
        </w:numPr>
        <w:spacing w:lineRule="auto" w:line="312" w:before="0" w:after="58"/>
        <w:ind w:left="607" w:hanging="283"/>
        <w:jc w:val="left"/>
        <w:rPr/>
      </w:pPr>
      <w:r>
        <w:rPr>
          <w:rFonts w:cs="Times New Roman" w:ascii="Times New Roman" w:hAnsi="Times New Roman"/>
          <w:b/>
          <w:bCs/>
          <w:lang w:val="vi-VN"/>
        </w:rPr>
        <w:t>Applicable subjects and Sectors:</w:t>
      </w:r>
      <w:r>
        <w:rPr>
          <w:rFonts w:cs="Times New Roman" w:ascii="Times New Roman" w:hAnsi="Times New Roman"/>
          <w:lang w:val="vi-VN"/>
        </w:rPr>
        <w:t> Applied to Enterprises belonging to the private economic sector operating in 4 key groups of sectors: (1) Manufacturing and processing industry; (2) High-tech/circular agriculture; (3) Science and technology, innovation, digital technology; (4) Green transition, sustainable business. (Legal Basis: clause 4 Section I Article 1 of Decision 631/QD-TTg).</w:t>
      </w:r>
    </w:p>
    <w:p>
      <w:pPr>
        <w:pStyle w:val="Normal"/>
        <w:numPr>
          <w:ilvl w:val="0"/>
          <w:numId w:val="1"/>
        </w:numPr>
        <w:spacing w:lineRule="auto" w:line="312" w:before="0" w:after="58"/>
        <w:ind w:left="607" w:hanging="283"/>
        <w:jc w:val="left"/>
        <w:rPr/>
      </w:pPr>
      <w:r>
        <w:rPr>
          <w:rFonts w:cs="Times New Roman" w:ascii="Times New Roman" w:hAnsi="Times New Roman"/>
          <w:b/>
          <w:bCs/>
          <w:lang w:val="vi-VN"/>
        </w:rPr>
        <w:t>Criteria for selecting participating enterprises:</w:t>
      </w:r>
    </w:p>
    <w:p>
      <w:pPr>
        <w:pStyle w:val="Normal"/>
        <w:numPr>
          <w:ilvl w:val="1"/>
          <w:numId w:val="2"/>
        </w:numPr>
        <w:spacing w:lineRule="auto" w:line="312" w:before="0" w:after="58"/>
        <w:ind w:left="1316" w:hanging="284"/>
        <w:jc w:val="left"/>
        <w:rPr/>
      </w:pPr>
      <w:r>
        <w:rPr>
          <w:rFonts w:cs="Times New Roman" w:ascii="Times New Roman" w:hAnsi="Times New Roman"/>
          <w:b/>
          <w:bCs/>
          <w:lang w:val="vi-VN"/>
        </w:rPr>
        <w:t>Regarding legality and growth:</w:t>
      </w:r>
      <w:r>
        <w:rPr>
          <w:rFonts w:cs="Times New Roman" w:ascii="Times New Roman" w:hAnsi="Times New Roman"/>
          <w:lang w:val="vi-VN"/>
        </w:rPr>
        <w:t> Being a Vietnamese enterprise, operating for a minimum of 03 consecutive years; having 02 years of positive profit within the 05 most recent years or having invested in technological innovation and expansion of production. (Legal Basis: point a1, a2 clause 5 Section I Article 1).</w:t>
      </w:r>
    </w:p>
    <w:p>
      <w:pPr>
        <w:pStyle w:val="Normal"/>
        <w:numPr>
          <w:ilvl w:val="1"/>
          <w:numId w:val="2"/>
        </w:numPr>
        <w:spacing w:lineRule="auto" w:line="312" w:before="0" w:after="58"/>
        <w:ind w:left="1316" w:hanging="284"/>
        <w:jc w:val="left"/>
        <w:rPr/>
      </w:pPr>
      <w:r>
        <w:rPr>
          <w:rFonts w:cs="Times New Roman" w:ascii="Times New Roman" w:hAnsi="Times New Roman"/>
          <w:b/>
          <w:bCs/>
          <w:lang w:val="vi-VN"/>
        </w:rPr>
        <w:t>Regarding innovation and strategy:</w:t>
      </w:r>
      <w:r>
        <w:rPr>
          <w:rFonts w:cs="Times New Roman" w:ascii="Times New Roman" w:hAnsi="Times New Roman"/>
          <w:lang w:val="vi-VN"/>
        </w:rPr>
        <w:t> Having innovative products/core technology or export products/import-substitution products. Currently applying sustainable development standards (ESG, ISO 14001, ISO 22000, VietGAP...). (Legal Basis: point a3, a4 clause 5 Section I Article 1).</w:t>
      </w:r>
    </w:p>
    <w:p>
      <w:pPr>
        <w:pStyle w:val="Normal"/>
        <w:numPr>
          <w:ilvl w:val="1"/>
          <w:numId w:val="2"/>
        </w:numPr>
        <w:spacing w:lineRule="auto" w:line="312" w:before="0" w:after="58"/>
        <w:ind w:left="1316" w:hanging="284"/>
        <w:jc w:val="left"/>
        <w:rPr/>
      </w:pPr>
      <w:r>
        <w:rPr>
          <w:rFonts w:cs="Times New Roman" w:ascii="Times New Roman" w:hAnsi="Times New Roman"/>
          <w:b/>
          <w:bCs/>
          <w:lang w:val="vi-VN"/>
        </w:rPr>
        <w:t>Specific criteria by sector:</w:t>
      </w:r>
      <w:r>
        <w:rPr>
          <w:rFonts w:cs="Times New Roman" w:ascii="Times New Roman" w:hAnsi="Times New Roman"/>
          <w:lang w:val="vi-VN"/>
        </w:rPr>
        <w:t> Manufacturing and processing enterprises need to reach revenue ≥ 200 billion VND or average growth ≥ 10% in the 02 most recent years (Legal Basis: Appendix 1).</w:t>
      </w:r>
    </w:p>
    <w:p>
      <w:pPr>
        <w:pStyle w:val="ListParagraph"/>
        <w:numPr>
          <w:ilvl w:val="0"/>
          <w:numId w:val="3"/>
        </w:numPr>
        <w:spacing w:lineRule="auto" w:line="312" w:before="0" w:after="58"/>
        <w:ind w:left="607" w:hanging="283"/>
        <w:contextualSpacing/>
        <w:jc w:val="left"/>
        <w:rPr/>
      </w:pPr>
      <w:r>
        <w:rPr>
          <w:rFonts w:cs="Times New Roman" w:ascii="Times New Roman" w:hAnsi="Times New Roman"/>
          <w:b/>
          <w:bCs/>
          <w:lang w:val="vi-VN"/>
        </w:rPr>
        <w:t>Focal support contents:</w:t>
      </w:r>
      <w:r>
        <w:rPr>
          <w:rFonts w:cs="Times New Roman" w:ascii="Times New Roman" w:hAnsi="Times New Roman"/>
          <w:lang w:val="vi-VN"/>
        </w:rPr>
        <w:t xml:space="preserve"> Pioneer enterprises will enjoy superior policies such as:</w:t>
      </w:r>
    </w:p>
    <w:p>
      <w:pPr>
        <w:pStyle w:val="ListParagraph"/>
        <w:numPr>
          <w:ilvl w:val="0"/>
          <w:numId w:val="4"/>
        </w:numPr>
        <w:spacing w:lineRule="auto" w:line="312" w:before="0" w:after="58"/>
        <w:ind w:left="1316" w:hanging="284"/>
        <w:contextualSpacing/>
        <w:jc w:val="left"/>
        <w:rPr/>
      </w:pPr>
      <w:r>
        <w:rPr>
          <w:rFonts w:cs="Times New Roman" w:ascii="Times New Roman" w:hAnsi="Times New Roman"/>
          <w:lang w:val="vi-VN"/>
        </w:rPr>
        <w:t xml:space="preserve">Administrative procedures: Choosing special investment procedures; applying channel 1 customs (exempt from inspection of dossiers/goods); supporting costs for listing securities.  (Legal Basis: clause 1 Section II Article 1 of Decision 631/QD-TTg). </w:t>
      </w:r>
    </w:p>
    <w:p>
      <w:pPr>
        <w:pStyle w:val="ListParagraph"/>
        <w:numPr>
          <w:ilvl w:val="0"/>
          <w:numId w:val="4"/>
        </w:numPr>
        <w:spacing w:lineRule="auto" w:line="312" w:before="0" w:after="58"/>
        <w:ind w:left="1316" w:hanging="284"/>
        <w:contextualSpacing/>
        <w:jc w:val="left"/>
        <w:rPr/>
      </w:pPr>
      <w:r>
        <w:rPr>
          <w:rFonts w:cs="Times New Roman" w:ascii="Times New Roman" w:hAnsi="Times New Roman"/>
          <w:lang w:val="vi-VN"/>
        </w:rPr>
        <w:t xml:space="preserve">Finance &amp; Credit: Priority for borrowing capital based on cash flow, intangible assets (patents), supporting fees for initial securities listing.  (Legal Basis: clause 3 Section II Article 1 of Decision 631/QD-TTg). </w:t>
      </w:r>
    </w:p>
    <w:p>
      <w:pPr>
        <w:pStyle w:val="ListParagraph"/>
        <w:numPr>
          <w:ilvl w:val="0"/>
          <w:numId w:val="4"/>
        </w:numPr>
        <w:spacing w:lineRule="auto" w:line="312" w:before="0" w:after="58"/>
        <w:ind w:left="1316" w:hanging="284"/>
        <w:contextualSpacing/>
        <w:jc w:val="left"/>
        <w:rPr/>
      </w:pPr>
      <w:r>
        <w:rPr>
          <w:rFonts w:cs="Times New Roman" w:ascii="Times New Roman" w:hAnsi="Times New Roman"/>
          <w:lang w:val="vi-VN"/>
        </w:rPr>
        <w:t xml:space="preserve">Technology &amp; Capacity: Supporting costs for intellectual property registration; applying accelerated depreciation; the State supports strategic consultancy, digital transformation and training for executive directors.  (Legal Basis: clause 4 and clause 5 Section II Article 1 of Decision 631/QD-TTg). </w:t>
      </w:r>
    </w:p>
    <w:p>
      <w:pPr>
        <w:pStyle w:val="ListParagraph"/>
        <w:numPr>
          <w:ilvl w:val="0"/>
          <w:numId w:val="5"/>
        </w:numPr>
        <w:spacing w:lineRule="auto" w:line="312" w:before="0" w:after="58"/>
        <w:ind w:left="607" w:hanging="283"/>
        <w:contextualSpacing/>
        <w:jc w:val="left"/>
        <w:rPr/>
      </w:pPr>
      <w:r>
        <w:rPr>
          <w:rFonts w:cs="Times New Roman" w:ascii="Times New Roman" w:hAnsi="Times New Roman"/>
          <w:b/>
          <w:bCs/>
          <w:lang w:val="vi-VN"/>
        </w:rPr>
        <w:t>Support method:</w:t>
      </w:r>
      <w:r>
        <w:rPr>
          <w:rFonts w:cs="Times New Roman" w:ascii="Times New Roman" w:hAnsi="Times New Roman"/>
          <w:lang w:val="vi-VN"/>
        </w:rPr>
        <w:t xml:space="preserve"> Support through the Pioneer Enterprise Support Card. The Card has a value of application for a maximum of 03 years for the enterprise to use consultancy, training, and digital transformation services.  (Legal Basis: clause 2 Section III Article 1 of Decision 631/QD-TTg).</w:t>
      </w:r>
    </w:p>
    <w:p>
      <w:pPr>
        <w:pStyle w:val="Normal"/>
        <w:spacing w:lineRule="auto" w:line="312" w:before="0" w:after="58"/>
        <w:jc w:val="left"/>
        <w:rPr/>
      </w:pPr>
      <w:r>
        <w:rPr>
          <w:rFonts w:cs="Times New Roman" w:ascii="Times New Roman" w:hAnsi="Times New Roman"/>
          <w:b/>
          <w:bCs/>
          <w:lang w:val="vi-VN"/>
        </w:rPr>
        <w:t>2. Biggest impacts:</w:t>
      </w:r>
      <w:r>
        <w:rPr>
          <w:rFonts w:cs="Times New Roman" w:ascii="Times New Roman" w:hAnsi="Times New Roman"/>
          <w:lang w:val="vi-VN"/>
        </w:rPr>
        <w:t xml:space="preserve"> Private enterprises have an additional large-scale launching pad program from the State to accelerate in scale, technology and market expansion. Especially, opening the way for the mechanism of borrowing bank capital using intangible assets and loosening administrative procedures to the maximum. </w:t>
      </w:r>
    </w:p>
    <w:p>
      <w:pPr>
        <w:pStyle w:val="Normal"/>
        <w:spacing w:lineRule="auto" w:line="312" w:before="0" w:after="58"/>
        <w:jc w:val="left"/>
        <w:rPr/>
      </w:pPr>
      <w:r>
        <w:rPr>
          <w:rFonts w:cs="Times New Roman" w:ascii="Times New Roman" w:hAnsi="Times New Roman"/>
          <w:b/>
          <w:bCs/>
          <w:lang w:val="vi-VN"/>
        </w:rPr>
        <w:t>3. Risks in case of failure to comply</w:t>
      </w:r>
    </w:p>
    <w:p>
      <w:pPr>
        <w:pStyle w:val="Normal"/>
        <w:numPr>
          <w:ilvl w:val="0"/>
          <w:numId w:val="6"/>
        </w:numPr>
        <w:spacing w:lineRule="auto" w:line="312" w:before="0" w:after="58"/>
        <w:ind w:left="607" w:hanging="283"/>
        <w:jc w:val="left"/>
        <w:rPr/>
      </w:pPr>
      <w:r>
        <w:rPr>
          <w:rFonts w:cs="Times New Roman" w:ascii="Times New Roman" w:hAnsi="Times New Roman"/>
          <w:b/>
          <w:bCs/>
          <w:lang w:val="vi-VN"/>
        </w:rPr>
        <w:t>Missing development opportunities:</w:t>
      </w:r>
      <w:r>
        <w:rPr>
          <w:rFonts w:cs="Times New Roman" w:ascii="Times New Roman" w:hAnsi="Times New Roman"/>
          <w:lang w:val="vi-VN"/>
        </w:rPr>
        <w:t> The enterprise will lose competitive advantages in capital, technology and market compared to competitors ; delay in standardizing capacity dossiers and growth plans.</w:t>
      </w:r>
    </w:p>
    <w:p>
      <w:pPr>
        <w:pStyle w:val="Normal"/>
        <w:numPr>
          <w:ilvl w:val="0"/>
          <w:numId w:val="6"/>
        </w:numPr>
        <w:spacing w:lineRule="auto" w:line="312" w:before="0" w:after="58"/>
        <w:ind w:left="607" w:hanging="283"/>
        <w:jc w:val="left"/>
        <w:rPr/>
      </w:pPr>
      <w:r>
        <w:rPr>
          <w:rFonts w:cs="Times New Roman" w:ascii="Times New Roman" w:hAnsi="Times New Roman"/>
          <w:b/>
          <w:bCs/>
          <w:lang w:val="vi-VN"/>
        </w:rPr>
        <w:t>Being stripped of title and benefits:</w:t>
      </w:r>
      <w:r>
        <w:rPr>
          <w:rFonts w:cs="Times New Roman" w:ascii="Times New Roman" w:hAnsi="Times New Roman"/>
          <w:lang w:val="vi-VN"/>
        </w:rPr>
        <w:t> If there is an act of violating the law, the enterprise will have the pioneer enterprise title removed and will not be considered for re-recognition for a minimum of 03 years. (Legal Basis: point b clause 1 Section III Article 1 of Decision 631/QD-TTg) .</w:t>
      </w:r>
    </w:p>
    <w:p>
      <w:pPr>
        <w:pStyle w:val="Normal"/>
        <w:numPr>
          <w:ilvl w:val="0"/>
          <w:numId w:val="6"/>
        </w:numPr>
        <w:spacing w:lineRule="auto" w:line="312" w:before="0" w:after="58"/>
        <w:ind w:left="607" w:hanging="283"/>
        <w:jc w:val="left"/>
        <w:rPr/>
      </w:pPr>
      <w:r>
        <w:rPr>
          <w:rFonts w:cs="Times New Roman" w:ascii="Times New Roman" w:hAnsi="Times New Roman"/>
          <w:b/>
          <w:bCs/>
          <w:lang w:val="vi-VN"/>
        </w:rPr>
        <w:t>Violating reciprocal commitments:</w:t>
      </w:r>
      <w:r>
        <w:rPr>
          <w:rFonts w:cs="Times New Roman" w:ascii="Times New Roman" w:hAnsi="Times New Roman"/>
          <w:lang w:val="vi-VN"/>
        </w:rPr>
        <w:t> The Program requires the enterprise to commit reciprocal resources. If declaring wrong information or failing to comply with regulations when enjoying benefits, the enterprise must bear responsibility before the law. (Legal Basis: point b clause 6 Section I and point h clause 2 Section V Article 1 of Decision 631/QD-TTg) .</w:t>
      </w:r>
    </w:p>
    <w:p>
      <w:pPr>
        <w:pStyle w:val="Normal"/>
        <w:spacing w:lineRule="auto" w:line="312" w:before="0" w:after="58"/>
        <w:jc w:val="left"/>
        <w:rPr/>
      </w:pPr>
      <w:r>
        <w:rPr>
          <w:rFonts w:cs="Times New Roman" w:ascii="Times New Roman" w:hAnsi="Times New Roman"/>
          <w:b/>
          <w:bCs/>
          <w:lang w:val="vi-VN"/>
        </w:rPr>
        <w:t>4. Proposed action plan:</w:t>
      </w:r>
    </w:p>
    <w:p>
      <w:pPr>
        <w:pStyle w:val="Normal"/>
        <w:numPr>
          <w:ilvl w:val="0"/>
          <w:numId w:val="7"/>
        </w:numPr>
        <w:spacing w:lineRule="auto" w:line="312" w:before="0" w:after="58"/>
        <w:ind w:left="607" w:hanging="283"/>
        <w:jc w:val="left"/>
        <w:rPr/>
      </w:pPr>
      <w:r>
        <w:rPr>
          <w:rFonts w:cs="Times New Roman" w:ascii="Times New Roman" w:hAnsi="Times New Roman"/>
          <w:b/>
          <w:bCs/>
          <w:lang w:val="vi-VN"/>
        </w:rPr>
        <w:t>Reviewing participation criteria immediately:</w:t>
      </w:r>
      <w:r>
        <w:rPr>
          <w:rFonts w:cs="Times New Roman" w:ascii="Times New Roman" w:hAnsi="Times New Roman"/>
          <w:lang w:val="vi-VN"/>
        </w:rPr>
        <w:t> Cross-checking the financial situation, R&amp;D budget ratio, labor productivity and standard certifications of the enterprise against the regulations at Appendix I of Decision 631/QD-TTg.</w:t>
      </w:r>
    </w:p>
    <w:p>
      <w:pPr>
        <w:pStyle w:val="Normal"/>
        <w:numPr>
          <w:ilvl w:val="0"/>
          <w:numId w:val="7"/>
        </w:numPr>
        <w:spacing w:lineRule="auto" w:line="312" w:before="0" w:after="58"/>
        <w:ind w:left="607" w:hanging="283"/>
        <w:jc w:val="left"/>
        <w:rPr/>
      </w:pPr>
      <w:r>
        <w:rPr>
          <w:rFonts w:cs="Times New Roman" w:ascii="Times New Roman" w:hAnsi="Times New Roman"/>
          <w:b/>
          <w:bCs/>
          <w:lang w:val="vi-VN"/>
        </w:rPr>
        <w:t>Preparing registration dossiers:</w:t>
      </w:r>
      <w:r>
        <w:rPr>
          <w:rFonts w:cs="Times New Roman" w:ascii="Times New Roman" w:hAnsi="Times New Roman"/>
          <w:lang w:val="vi-VN"/>
        </w:rPr>
        <w:t> Based on the guidance of the Ministry of Finance, immediately prepare the capacity dossier, technology data, profit proof and growth plan until 2030 to submit to the local Department of Finance. (Legal Basis: point a clause 1 Section III Article 1 of Decision 631/QD-TTg) .</w:t>
      </w:r>
    </w:p>
    <w:p>
      <w:pPr>
        <w:pStyle w:val="Normal"/>
        <w:spacing w:lineRule="auto" w:line="312" w:before="0" w:after="58"/>
        <w:jc w:val="left"/>
        <w:rPr/>
      </w:pPr>
      <w:r>
        <w:rPr>
          <w:rFonts w:cs="Times New Roman" w:ascii="Times New Roman" w:hAnsi="Times New Roman"/>
          <w:b/>
          <w:bCs/>
          <w:lang w:val="vi-VN"/>
        </w:rPr>
        <w:t>5. Notes and recommendations for customers:</w:t>
      </w:r>
    </w:p>
    <w:p>
      <w:pPr>
        <w:pStyle w:val="Normal"/>
        <w:numPr>
          <w:ilvl w:val="0"/>
          <w:numId w:val="8"/>
        </w:numPr>
        <w:spacing w:lineRule="auto" w:line="312" w:before="0" w:after="58"/>
        <w:ind w:left="607" w:hanging="283"/>
        <w:jc w:val="left"/>
        <w:rPr/>
      </w:pPr>
      <w:r>
        <w:rPr>
          <w:rFonts w:cs="Times New Roman" w:ascii="Times New Roman" w:hAnsi="Times New Roman"/>
          <w:b/>
          <w:bCs/>
          <w:lang w:val="vi-VN"/>
        </w:rPr>
        <w:t>Special advantage for priority groups:</w:t>
      </w:r>
      <w:r>
        <w:rPr>
          <w:rFonts w:cs="Times New Roman" w:ascii="Times New Roman" w:hAnsi="Times New Roman"/>
          <w:lang w:val="vi-VN"/>
        </w:rPr>
        <w:t> If your enterprise is women-owned, uses many female employees, people with disabilities, or is a social enterprise, you will be prioritized for support review first. (Legal Basis: point b clause 6 Section I Article 1 of Decision 631/QD-TTg) .</w:t>
      </w:r>
    </w:p>
    <w:p>
      <w:pPr>
        <w:pStyle w:val="Normal"/>
        <w:numPr>
          <w:ilvl w:val="0"/>
          <w:numId w:val="8"/>
        </w:numPr>
        <w:spacing w:lineRule="auto" w:line="312" w:before="0" w:after="58"/>
        <w:ind w:left="607" w:hanging="283"/>
        <w:jc w:val="left"/>
        <w:rPr/>
      </w:pPr>
      <w:r>
        <w:rPr>
          <w:rFonts w:cs="Times New Roman" w:ascii="Times New Roman" w:hAnsi="Times New Roman"/>
          <w:b/>
          <w:bCs/>
          <w:lang w:val="vi-VN"/>
        </w:rPr>
        <w:t>Support Card mechanism:</w:t>
      </w:r>
      <w:r>
        <w:rPr>
          <w:rFonts w:cs="Times New Roman" w:ascii="Times New Roman" w:hAnsi="Times New Roman"/>
          <w:lang w:val="vi-VN"/>
        </w:rPr>
        <w:t> The State issues the "Pioneer Enterprise Support Card" (printed or electronic/QR) for the enterprise to proactively choose service providers on the Enterprise Information Portal. (Legal Basis: clause 2 Section III Article 1 of Decision 631/QD-TTg) .</w:t>
      </w:r>
    </w:p>
    <w:p>
      <w:pPr>
        <w:pStyle w:val="Normal"/>
        <w:spacing w:lineRule="auto" w:line="312" w:before="0" w:after="60"/>
        <w:jc w:val="left"/>
        <w:rPr/>
      </w:pPr>
      <w:r>
        <w:rPr>
          <w:rFonts w:cs="Times New Roman" w:ascii="Times New Roman" w:hAnsi="Times New Roman"/>
          <w:b/>
          <w:bCs/>
          <w:lang w:val="vi-VN"/>
        </w:rPr>
        <w:t>Card duration:</w:t>
      </w:r>
      <w:r>
        <w:rPr>
          <w:rFonts w:cs="Times New Roman" w:ascii="Times New Roman" w:hAnsi="Times New Roman"/>
          <w:lang w:val="vi-VN"/>
        </w:rPr>
        <w:t> The Card has a value of use for a maximum of 03 years and is not applied concurrently with other support programs from the budget for the same content. (Legal Basis: point a1 clause 2 Section III Article 1 of Decision 631/QD-TTg) .</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ind w:left="720" w:hanging="360"/>
      </w:pPr>
      <w:rPr>
        <w:rFonts w:ascii="Symbol" w:hAnsi="Symbol" w:cs="Symbol"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6">
    <w:lvl w:ilvl="0">
      <w:start w:val="1"/>
      <w:numFmt w:val="bullet"/>
      <w:lvlText w:val=""/>
      <w:lvlJc w:val="left"/>
      <w:pPr>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character" w:styleId="ListLabel64">
    <w:name w:val="ListLabel 64"/>
    <w:qFormat/>
    <w:rPr>
      <w:rFonts w:ascii="Times New Roman" w:hAnsi="Times New Roman"/>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rFonts w:ascii="Times New Roman" w:hAnsi="Times New Roman"/>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rFonts w:cs="Courier New"/>
    </w:rPr>
  </w:style>
  <w:style w:type="character" w:styleId="ListLabel83">
    <w:name w:val="ListLabel 83"/>
    <w:qFormat/>
    <w:rPr>
      <w:rFonts w:cs="Courier New"/>
    </w:rPr>
  </w:style>
  <w:style w:type="character" w:styleId="ListLabel84">
    <w:name w:val="ListLabel 84"/>
    <w:qFormat/>
    <w:rPr>
      <w:rFonts w:cs="Courier New"/>
    </w:rPr>
  </w:style>
  <w:style w:type="character" w:styleId="ListLabel85">
    <w:name w:val="ListLabel 85"/>
    <w:qFormat/>
    <w:rPr>
      <w:rFonts w:cs="Courier New"/>
    </w:rPr>
  </w:style>
  <w:style w:type="character" w:styleId="ListLabel86">
    <w:name w:val="ListLabel 86"/>
    <w:qFormat/>
    <w:rPr>
      <w:rFonts w:cs="Courier New"/>
    </w:rPr>
  </w:style>
  <w:style w:type="character" w:styleId="ListLabel87">
    <w:name w:val="ListLabel 87"/>
    <w:qFormat/>
    <w:rPr>
      <w:rFonts w:cs="Courier New"/>
    </w:rPr>
  </w:style>
  <w:style w:type="character" w:styleId="ListLabel88">
    <w:name w:val="ListLabel 88"/>
    <w:qFormat/>
    <w:rPr>
      <w:rFonts w:cs="Courier New"/>
    </w:rPr>
  </w:style>
  <w:style w:type="character" w:styleId="ListLabel89">
    <w:name w:val="ListLabel 89"/>
    <w:qFormat/>
    <w:rPr>
      <w:rFonts w:cs="Courier New"/>
    </w:rPr>
  </w:style>
  <w:style w:type="character" w:styleId="ListLabel90">
    <w:name w:val="ListLabel 90"/>
    <w:qFormat/>
    <w:rPr>
      <w:rFonts w:cs="Courier New"/>
    </w:rPr>
  </w:style>
  <w:style w:type="character" w:styleId="ListLabel91">
    <w:name w:val="ListLabel 91"/>
    <w:qFormat/>
    <w:rPr>
      <w:rFonts w:ascii="Times New Roman" w:hAnsi="Times New Roman"/>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rFonts w:ascii="Times New Roman" w:hAnsi="Times New Roman"/>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rFonts w:ascii="Times New Roman" w:hAnsi="Times New Roman"/>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ListParagraph">
    <w:name w:val="List Paragraph"/>
    <w:basedOn w:val="Normal"/>
    <w:qFormat/>
    <w:pPr>
      <w:spacing w:before="0" w:after="160"/>
      <w:ind w:left="720" w:hanging="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LibreOffice/6.0.4.2$Windows_x86 LibreOffice_project/9b0d9b32d5dcda91d2f1a96dc04c645c450872bf</Application>
  <Pages>3</Pages>
  <Words>873</Words>
  <Characters>5052</Characters>
  <CharactersWithSpaces>5890</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2026-06-03T11:00:16Z</dcterms:created>
  <dc:creator/>
  <dc:description/>
  <dc:language>vi-VN</dc:language>
  <cp:lastModifiedBy/>
  <dcterms:modified xsi:type="dcterms:W3CDTF">2026-06-03T11:01:28Z</dcterms:modified>
  <cp:revision>1</cp:revision>
  <dc:subject/>
  <dc:title/>
</cp:coreProperties>
</file>