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12" w:before="0" w:after="0"/>
        <w:jc w:val="center"/>
        <w:rPr/>
      </w:pPr>
      <w:r>
        <w:rPr>
          <w:rFonts w:cs="Times New Roman" w:ascii="Times New Roman" w:hAnsi="Times New Roman"/>
          <w:b/>
          <w:bCs/>
          <w:lang w:val="vi-VN"/>
        </w:rPr>
        <w:t>REGULATIONS ON ADMINISTRATIVE SANCTIONING IN THE JUDICIAL AND BANKRUPTCY SECTORS UNDER DECREE 109/2026/ND-CP</w:t>
      </w:r>
    </w:p>
    <w:p>
      <w:pPr>
        <w:pStyle w:val="Normal"/>
        <w:spacing w:lineRule="auto" w:line="312" w:before="0" w:after="0"/>
        <w:jc w:val="left"/>
        <w:rPr/>
      </w:pPr>
      <w:r>
        <w:rPr>
          <w:rFonts w:cs="Times New Roman" w:ascii="Times New Roman" w:hAnsi="Times New Roman"/>
          <w:b/>
          <w:bCs/>
          <w:u w:val="single"/>
          <w:lang w:val="vi-VN"/>
        </w:rPr>
        <w:t>Question</w:t>
      </w:r>
      <w:r>
        <w:rPr>
          <w:rFonts w:cs="Times New Roman" w:ascii="Times New Roman" w:hAnsi="Times New Roman"/>
          <w:b/>
          <w:bCs/>
          <w:lang w:val="vi-VN"/>
        </w:rPr>
        <w:t>:</w:t>
      </w:r>
      <w:r>
        <w:rPr>
          <w:rFonts w:cs="Times New Roman" w:ascii="Times New Roman" w:hAnsi="Times New Roman"/>
          <w:lang w:val="vi-VN"/>
        </w:rPr>
        <w:t xml:space="preserve"> My enterprise is carrying out bankruptcy procedures but still shall perform certain civil judgment enforcement obligations. I would like to ask, in this case, what regulations the company shall comply with under the new law, and if failing to strictly implement, whether the company may be subject to administrative sanctions or encounter any risks?</w:t>
      </w:r>
    </w:p>
    <w:p>
      <w:pPr>
        <w:pStyle w:val="Normal"/>
        <w:spacing w:lineRule="auto" w:line="312" w:before="0" w:after="0"/>
        <w:jc w:val="left"/>
        <w:rPr/>
      </w:pPr>
      <w:r>
        <w:rPr>
          <w:rFonts w:cs="Times New Roman" w:ascii="Times New Roman" w:hAnsi="Times New Roman"/>
          <w:b/>
          <w:bCs/>
          <w:u w:val="single"/>
          <w:lang w:val="vi-VN"/>
        </w:rPr>
        <w:t>Answer:</w:t>
      </w:r>
    </w:p>
    <w:p>
      <w:pPr>
        <w:pStyle w:val="Normal"/>
        <w:spacing w:lineRule="auto" w:line="312" w:before="0" w:after="0"/>
        <w:jc w:val="left"/>
        <w:rPr/>
      </w:pPr>
      <w:r>
        <w:rPr>
          <w:rFonts w:cs="Times New Roman" w:ascii="Times New Roman" w:hAnsi="Times New Roman"/>
          <w:b/>
          <w:bCs/>
          <w:lang w:val="vi-VN"/>
        </w:rPr>
        <w:t>1. Main contents</w:t>
      </w:r>
      <w:r>
        <w:rPr>
          <w:rFonts w:cs="Times New Roman" w:ascii="Times New Roman" w:hAnsi="Times New Roman"/>
          <w:lang w:val="vi-VN"/>
        </w:rPr>
        <w:t xml:space="preserve"> </w:t>
      </w:r>
    </w:p>
    <w:p>
      <w:pPr>
        <w:pStyle w:val="Normal"/>
        <w:spacing w:lineRule="auto" w:line="312" w:before="0" w:after="0"/>
        <w:jc w:val="left"/>
        <w:rPr/>
      </w:pPr>
      <w:r>
        <w:rPr>
          <w:rFonts w:cs="Times New Roman" w:ascii="Times New Roman" w:hAnsi="Times New Roman"/>
          <w:b/>
          <w:bCs/>
          <w:lang w:val="vi-VN"/>
        </w:rPr>
        <w:t>Decree 109/2026/ND-CP</w:t>
      </w:r>
      <w:r>
        <w:rPr>
          <w:rFonts w:cs="Times New Roman" w:ascii="Times New Roman" w:hAnsi="Times New Roman"/>
          <w:lang w:val="vi-VN"/>
        </w:rPr>
        <w:t xml:space="preserve"> providing for administrative sanctioning of administrative violations in the sectors of judicial assistance; judicial administration; marriage and family; civil judgment enforcement; and recovery and bankruptcy of enterprises and cooperatives, </w:t>
      </w:r>
      <w:r>
        <w:rPr>
          <w:rFonts w:cs="Times New Roman" w:ascii="Times New Roman" w:hAnsi="Times New Roman"/>
          <w:b/>
          <w:bCs/>
          <w:lang w:val="vi-VN"/>
        </w:rPr>
        <w:t>taking effect from May 18, 2026</w:t>
      </w:r>
      <w:r>
        <w:rPr>
          <w:rFonts w:cs="Times New Roman" w:ascii="Times New Roman" w:hAnsi="Times New Roman"/>
          <w:lang w:val="vi-VN"/>
        </w:rPr>
        <w:t>, has established a legal framework for administrative sanctioning in multiple sectors directly relating to the operation of enterprises, including judicial assistance, judicial administration, civil judgment enforcement, and particularly the process of recovery and bankruptcy of enterprises and cooperatives, with the following core contents:</w:t>
      </w:r>
    </w:p>
    <w:p>
      <w:pPr>
        <w:pStyle w:val="Normal"/>
        <w:spacing w:lineRule="auto" w:line="312" w:before="0" w:after="0"/>
        <w:jc w:val="left"/>
        <w:rPr/>
      </w:pPr>
      <w:r>
        <w:rPr>
          <w:rFonts w:cs="Times New Roman" w:ascii="Times New Roman" w:hAnsi="Times New Roman"/>
          <w:b/>
          <w:bCs/>
          <w:lang w:val="vi-VN"/>
        </w:rPr>
        <w:t>- Applicable entities:</w:t>
      </w:r>
      <w:r>
        <w:rPr>
          <w:rFonts w:cs="Times New Roman" w:ascii="Times New Roman" w:hAnsi="Times New Roman"/>
          <w:lang w:val="vi-VN"/>
        </w:rPr>
        <w:t xml:space="preserve"> Applicable to individuals and organizations practicing judicial affairs, civil judgment enforcement, and relevant subjects; therein including enterprises in the process of recovery or bankruptcy. Accordingly, the enterprise shall bear direct responsibility for the legality and completeness of the procedures and dossiers arising during this process. </w:t>
      </w:r>
    </w:p>
    <w:p>
      <w:pPr>
        <w:pStyle w:val="Normal"/>
        <w:spacing w:lineRule="auto" w:line="312" w:before="0" w:after="0"/>
        <w:jc w:val="left"/>
        <w:rPr/>
      </w:pPr>
      <w:r>
        <w:rPr>
          <w:rFonts w:cs="Times New Roman" w:ascii="Times New Roman" w:hAnsi="Times New Roman"/>
          <w:i/>
          <w:iCs/>
          <w:lang w:val="vi-VN"/>
        </w:rPr>
        <w:t>(Legal basis: clause 1 Article 2, clause 2 Article 2 and point c clause 3 Article 2 of Decree 109/2026/ND-CP).</w:t>
      </w:r>
    </w:p>
    <w:p>
      <w:pPr>
        <w:pStyle w:val="Normal"/>
        <w:spacing w:lineRule="auto" w:line="312" w:before="0" w:after="0"/>
        <w:jc w:val="left"/>
        <w:rPr/>
      </w:pPr>
      <w:r>
        <w:rPr>
          <w:rFonts w:cs="Times New Roman" w:ascii="Times New Roman" w:hAnsi="Times New Roman"/>
          <w:b/>
          <w:bCs/>
          <w:lang w:val="vi-VN"/>
        </w:rPr>
        <w:t>- Notable violation acts:</w:t>
      </w:r>
      <w:r>
        <w:rPr>
          <w:rFonts w:cs="Times New Roman" w:ascii="Times New Roman" w:hAnsi="Times New Roman"/>
          <w:lang w:val="vi-VN"/>
        </w:rPr>
        <w:t xml:space="preserve"> Primarily revolving around the failure to strictly comply with the legal order and procedures; delay in performing reporting obligations; or errors in the formulation and management of civil judgment enforcement dossiers, and recovery and bankruptcy dossiers.</w:t>
      </w:r>
    </w:p>
    <w:p>
      <w:pPr>
        <w:pStyle w:val="Normal"/>
        <w:spacing w:lineRule="auto" w:line="312" w:before="0" w:after="0"/>
        <w:jc w:val="left"/>
        <w:rPr/>
      </w:pPr>
      <w:r>
        <w:rPr>
          <w:rFonts w:cs="Times New Roman" w:ascii="Times New Roman" w:hAnsi="Times New Roman"/>
          <w:b/>
          <w:bCs/>
          <w:lang w:val="vi-VN"/>
        </w:rPr>
        <w:t>2. Greatest impacts</w:t>
      </w:r>
      <w:r>
        <w:rPr>
          <w:rFonts w:cs="Times New Roman" w:ascii="Times New Roman" w:hAnsi="Times New Roman"/>
          <w:lang w:val="vi-VN"/>
        </w:rPr>
        <w:t xml:space="preserve"> </w:t>
      </w:r>
    </w:p>
    <w:p>
      <w:pPr>
        <w:pStyle w:val="Normal"/>
        <w:spacing w:lineRule="auto" w:line="312" w:before="0" w:after="0"/>
        <w:jc w:val="left"/>
        <w:rPr/>
      </w:pPr>
      <w:r>
        <w:rPr>
          <w:rFonts w:cs="Times New Roman" w:ascii="Times New Roman" w:hAnsi="Times New Roman"/>
          <w:lang w:val="vi-VN"/>
        </w:rPr>
        <w:t>The new regulations significantly increase the requirements for compliance governance within the enterprise, forcing the enterprise to strictly control the entire process relating to legal dossiers, especially in sensitive stages such as judgment enforcement or recovery and restructuring of the enterprise. Concurrently, the requirements for internal coordination also increase as departments such as legal, accounting, and operations shall closely coordinate to ensure that all documents and reports are formulated accurately, completely, and strictly on time, thereby limiting violation risks and enhancing transparency in operations.</w:t>
      </w:r>
    </w:p>
    <w:p>
      <w:pPr>
        <w:pStyle w:val="Normal"/>
        <w:spacing w:lineRule="auto" w:line="312" w:before="0" w:after="0"/>
        <w:jc w:val="left"/>
        <w:rPr/>
      </w:pPr>
      <w:r>
        <w:rPr>
          <w:rFonts w:cs="Times New Roman" w:ascii="Times New Roman" w:hAnsi="Times New Roman"/>
          <w:b/>
          <w:bCs/>
          <w:lang w:val="vi-VN"/>
        </w:rPr>
        <w:t>3. Risks in case of non-compliance</w:t>
      </w:r>
    </w:p>
    <w:p>
      <w:pPr>
        <w:pStyle w:val="Normal"/>
        <w:spacing w:lineRule="auto" w:line="312" w:before="0" w:after="0"/>
        <w:jc w:val="left"/>
        <w:rPr/>
      </w:pPr>
      <w:r>
        <w:rPr>
          <w:rFonts w:cs="Times New Roman" w:ascii="Times New Roman" w:hAnsi="Times New Roman"/>
          <w:lang w:val="vi-VN"/>
        </w:rPr>
        <w:t>- If failing to strictly comply with the legal order and procedures or delaying the performance of reporting obligations during the process of judgment enforcement, recovery, or bankruptcy, the enterprise may be subject to administrative sanctions in accordance with the regulations.</w:t>
      </w:r>
    </w:p>
    <w:p>
      <w:pPr>
        <w:pStyle w:val="Normal"/>
        <w:spacing w:lineRule="auto" w:line="312" w:before="0" w:after="0"/>
        <w:jc w:val="left"/>
        <w:rPr/>
      </w:pPr>
      <w:r>
        <w:rPr>
          <w:rFonts w:cs="Times New Roman" w:ascii="Times New Roman" w:hAnsi="Times New Roman"/>
          <w:lang w:val="vi-VN"/>
        </w:rPr>
        <w:t>- Errors and shortcomings in the formulation and management of dossiers may prolong the process of recovery or bankruptcy, thereby directly affecting business operations and reducing the effectiveness of the enterprise restructuring process.</w:t>
      </w:r>
    </w:p>
    <w:p>
      <w:pPr>
        <w:pStyle w:val="Normal"/>
        <w:spacing w:lineRule="auto" w:line="312" w:before="0" w:after="0"/>
        <w:jc w:val="left"/>
        <w:rPr/>
      </w:pPr>
      <w:r>
        <w:rPr>
          <w:rFonts w:cs="Times New Roman" w:ascii="Times New Roman" w:hAnsi="Times New Roman"/>
          <w:lang w:val="vi-VN"/>
        </w:rPr>
        <w:t>- In case the dossiers and documents do not ensure accuracy, completeness, or transparency, the enterprise may be unfavorably evaluated when working with State organs or in legal disputes, and legal liability may even arise for the legal representative.</w:t>
      </w:r>
    </w:p>
    <w:p>
      <w:pPr>
        <w:pStyle w:val="Normal"/>
        <w:spacing w:lineRule="auto" w:line="312" w:before="0" w:after="0"/>
        <w:jc w:val="left"/>
        <w:rPr/>
      </w:pPr>
      <w:r>
        <w:rPr>
          <w:rFonts w:cs="Times New Roman" w:ascii="Times New Roman" w:hAnsi="Times New Roman"/>
          <w:b/>
          <w:bCs/>
          <w:lang w:val="vi-VN"/>
        </w:rPr>
        <w:t>4. Proposed action plan</w:t>
      </w:r>
    </w:p>
    <w:p>
      <w:pPr>
        <w:pStyle w:val="Normal"/>
        <w:spacing w:lineRule="auto" w:line="312" w:before="0" w:after="0"/>
        <w:jc w:val="left"/>
        <w:rPr/>
      </w:pPr>
      <w:r>
        <w:rPr>
          <w:rFonts w:cs="Times New Roman" w:ascii="Times New Roman" w:hAnsi="Times New Roman"/>
          <w:lang w:val="vi-VN"/>
        </w:rPr>
        <w:t>- Review the entire internal process relating to judgment enforcement (if any) and the processing of recovery and bankruptcy dossiers in order to promptly detect and adjust points inconsistent with the legal regulations.</w:t>
      </w:r>
    </w:p>
    <w:p>
      <w:pPr>
        <w:pStyle w:val="Normal"/>
        <w:spacing w:lineRule="auto" w:line="312" w:before="0" w:after="0"/>
        <w:jc w:val="left"/>
        <w:rPr/>
      </w:pPr>
      <w:r>
        <w:rPr>
          <w:rFonts w:cs="Times New Roman" w:ascii="Times New Roman" w:hAnsi="Times New Roman"/>
          <w:lang w:val="vi-VN"/>
        </w:rPr>
        <w:t>- Establish a strict control mechanism regarding the deadline for performing reporting obligations and legal procedures; concurrently assign clear responsibilities among relevant departments (legal, accounting, operations) to ensure the implementation is strictly on time and in accordance with the regulations.</w:t>
      </w:r>
    </w:p>
    <w:p>
      <w:pPr>
        <w:pStyle w:val="Normal"/>
        <w:spacing w:lineRule="auto" w:line="312" w:before="0" w:after="0"/>
        <w:jc w:val="left"/>
        <w:rPr/>
      </w:pPr>
      <w:r>
        <w:rPr>
          <w:rFonts w:cs="Times New Roman" w:ascii="Times New Roman" w:hAnsi="Times New Roman"/>
          <w:lang w:val="vi-VN"/>
        </w:rPr>
        <w:t>- Conduct periodic inspections and reviews of dossiers and documents in order to ensure completeness and validity, and be ready to provide information upon request from competent agencies.</w:t>
      </w:r>
    </w:p>
    <w:p>
      <w:pPr>
        <w:pStyle w:val="Normal"/>
        <w:spacing w:lineRule="auto" w:line="312" w:before="0" w:after="0"/>
        <w:jc w:val="left"/>
        <w:rPr/>
      </w:pPr>
      <w:r>
        <w:rPr>
          <w:rFonts w:cs="Times New Roman" w:ascii="Times New Roman" w:hAnsi="Times New Roman"/>
          <w:b/>
          <w:bCs/>
          <w:lang w:val="vi-VN"/>
        </w:rPr>
        <w:t>5. Notes and recommendations</w:t>
      </w:r>
    </w:p>
    <w:p>
      <w:pPr>
        <w:pStyle w:val="Normal"/>
        <w:spacing w:lineRule="auto" w:line="312" w:before="0" w:after="0"/>
        <w:jc w:val="left"/>
        <w:rPr/>
      </w:pPr>
      <w:r>
        <w:rPr>
          <w:rFonts w:cs="Times New Roman" w:ascii="Times New Roman" w:hAnsi="Times New Roman"/>
          <w:b/>
          <w:bCs/>
          <w:lang w:val="vi-VN"/>
        </w:rPr>
        <w:t>- Construction of a scientific dossier archiving system:</w:t>
      </w:r>
      <w:r>
        <w:rPr>
          <w:rFonts w:cs="Times New Roman" w:ascii="Times New Roman" w:hAnsi="Times New Roman"/>
          <w:lang w:val="vi-VN"/>
        </w:rPr>
        <w:t xml:space="preserve"> The enterprise should establish and operate a dossier archiving system ensuring completeness, logic, and the capability of rapid and accurate retrieval when necessary, especially for dossiers relating to judgment enforcement, recovery, and bankruptcy.</w:t>
      </w:r>
    </w:p>
    <w:p>
      <w:pPr>
        <w:pStyle w:val="Normal"/>
        <w:spacing w:lineRule="auto" w:line="312" w:before="0" w:after="0"/>
        <w:jc w:val="left"/>
        <w:rPr/>
      </w:pPr>
      <w:r>
        <w:rPr>
          <w:rFonts w:cs="Times New Roman" w:ascii="Times New Roman" w:hAnsi="Times New Roman"/>
          <w:b/>
          <w:bCs/>
          <w:lang w:val="vi-VN"/>
        </w:rPr>
        <w:t>- Regular updating of legal regulations:</w:t>
      </w:r>
      <w:r>
        <w:rPr>
          <w:rFonts w:cs="Times New Roman" w:ascii="Times New Roman" w:hAnsi="Times New Roman"/>
          <w:lang w:val="vi-VN"/>
        </w:rPr>
        <w:t xml:space="preserve"> The enterprise should proactively monitor and regularly update new legal regulations in order to promptly adj</w:t>
      </w:r>
      <w:bookmarkStart w:id="0" w:name="_GoBack"/>
      <w:bookmarkEnd w:id="0"/>
      <w:r>
        <w:rPr>
          <w:rFonts w:cs="Times New Roman" w:ascii="Times New Roman" w:hAnsi="Times New Roman"/>
          <w:lang w:val="vi-VN"/>
        </w:rPr>
        <w:t>ust internal processes, avoiding the arising of unnecessary violations.</w:t>
      </w:r>
    </w:p>
    <w:p>
      <w:pPr>
        <w:pStyle w:val="Normal"/>
        <w:spacing w:lineRule="auto" w:line="312" w:before="0" w:after="0"/>
        <w:jc w:val="left"/>
        <w:rPr/>
      </w:pPr>
      <w:r>
        <w:rPr>
          <w:rFonts w:cs="Times New Roman" w:ascii="Times New Roman" w:hAnsi="Times New Roman"/>
          <w:b/>
          <w:bCs/>
          <w:lang w:val="vi-VN"/>
        </w:rPr>
        <w:t>- Consultation with legal experts:</w:t>
      </w:r>
      <w:r>
        <w:rPr>
          <w:rFonts w:cs="Times New Roman" w:ascii="Times New Roman" w:hAnsi="Times New Roman"/>
          <w:lang w:val="vi-VN"/>
        </w:rPr>
        <w:t xml:space="preserve"> For complex cases, especially during the process of bankruptcy or judgment enforcement, the enterprise should consider consulting lawyers or legal experts to ensure strict compliance with the regulations and minimize legal risks.</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vi-VN" w:eastAsia="zh-CN" w:bidi="hi-IN"/>
      </w:rPr>
    </w:rPrDefault>
    <w:pPrDefault>
      <w:pPr>
        <w:widowControl/>
      </w:pPr>
    </w:pPrDefault>
  </w:docDefaults>
  <w:style w:type="paragraph" w:styleId="Normal">
    <w:name w:val="Normal"/>
    <w:qFormat/>
    <w:pPr>
      <w:widowControl/>
    </w:pPr>
    <w:rPr>
      <w:rFonts w:ascii="Liberation Serif" w:hAnsi="Liberation Serif" w:eastAsia="Arial Unicode MS" w:cs="Arial Unicode MS"/>
      <w:color w:val="auto"/>
      <w:kern w:val="2"/>
      <w:sz w:val="24"/>
      <w:szCs w:val="24"/>
      <w:lang w:val="vi-VN"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LibreOffice/6.0.4.2$Windows_x86 LibreOffice_project/9b0d9b32d5dcda91d2f1a96dc04c645c450872bf</Application>
  <Pages>2</Pages>
  <Words>683</Words>
  <Characters>4268</Characters>
  <CharactersWithSpaces>4932</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2026-06-03T10:27:33Z</dcterms:created>
  <dc:creator/>
  <dc:description/>
  <dc:language>vi-VN</dc:language>
  <cp:lastModifiedBy/>
  <dcterms:modified xsi:type="dcterms:W3CDTF">2026-06-03T10:28:42Z</dcterms:modified>
  <cp:revision>1</cp:revision>
  <dc:subject/>
  <dc:title/>
</cp:coreProperties>
</file>