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312" w:before="0" w:after="144"/>
        <w:ind w:left="6" w:firstLine="283"/>
        <w:jc w:val="center"/>
        <w:outlineLvl w:val="1"/>
        <w:rPr/>
      </w:pPr>
      <w:r>
        <w:rPr>
          <w:rFonts w:eastAsia="Times New Roman" w:cs="Times New Roman" w:ascii="Times New Roman" w:hAnsi="Times New Roman"/>
          <w:b/>
          <w:bCs/>
          <w:lang w:val="vi-VN"/>
        </w:rPr>
        <w:t>GUIDELINES ON DECLARATION, DEDUCTION AND PAYMENT OF CRYPTO ASSET TAX ACCORDING TO CIRCULAR 41/2026/TT-BTC</w:t>
      </w:r>
    </w:p>
    <w:p>
      <w:pPr>
        <w:pStyle w:val="Normal"/>
        <w:numPr>
          <w:ilvl w:val="0"/>
          <w:numId w:val="0"/>
        </w:numPr>
        <w:spacing w:lineRule="auto" w:line="312" w:before="0" w:after="144"/>
        <w:jc w:val="both"/>
        <w:outlineLvl w:val="1"/>
        <w:rPr/>
      </w:pPr>
      <w:r>
        <w:rPr>
          <w:rFonts w:eastAsia="Times New Roman" w:cs="Times New Roman" w:ascii="Times New Roman" w:hAnsi="Times New Roman"/>
          <w:b/>
          <w:bCs/>
          <w:lang w:val="vi-VN"/>
        </w:rPr>
        <w:t>Question:</w:t>
      </w:r>
      <w:r>
        <w:rPr>
          <w:rFonts w:eastAsia="Times New Roman" w:cs="Times New Roman" w:ascii="Times New Roman" w:hAnsi="Times New Roman"/>
          <w:lang w:val="vi-VN"/>
        </w:rPr>
        <w:t xml:space="preserve"> </w:t>
      </w:r>
      <w:r>
        <w:rPr>
          <w:rFonts w:eastAsia="Times New Roman" w:cs="Times New Roman" w:ascii="Times New Roman" w:hAnsi="Times New Roman"/>
          <w:i/>
          <w:iCs/>
          <w:lang w:val="vi-VN"/>
        </w:rPr>
        <w:t>"I am a representative of a company providing crypto asset exchange services in Vietnam. Recently, I have heard information about the requirement that exchanges must execute the declaration, payment of tax and deduction of tax on behalf of customers. May I ask what procedures, dossiers my company must satisfy, what the deadlines are and what risks exist in case of failure to comply?"</w:t>
      </w:r>
    </w:p>
    <w:p>
      <w:pPr>
        <w:pStyle w:val="Normal"/>
        <w:numPr>
          <w:ilvl w:val="0"/>
          <w:numId w:val="0"/>
        </w:numPr>
        <w:spacing w:lineRule="auto" w:line="312" w:before="0" w:after="144"/>
        <w:jc w:val="both"/>
        <w:outlineLvl w:val="1"/>
        <w:rPr/>
      </w:pPr>
      <w:r>
        <w:rPr>
          <w:rFonts w:eastAsia="Times New Roman" w:cs="Times New Roman" w:ascii="Times New Roman" w:hAnsi="Times New Roman"/>
          <w:b/>
          <w:bCs/>
          <w:lang w:val="vi-VN"/>
        </w:rPr>
        <w:t>Answer:</w:t>
      </w:r>
      <w:r>
        <w:rPr>
          <w:rFonts w:eastAsia="Times New Roman" w:cs="Times New Roman" w:ascii="Times New Roman" w:hAnsi="Times New Roman"/>
          <w:lang w:val="vi-VN"/>
        </w:rPr>
        <w:t xml:space="preserve"> Below is the detailed advisory part regarding the new regulations on tax administration in the crypto asset market according to Circular 41/2026/TT-BTC (effective from 06/04/2026):</w:t>
      </w:r>
    </w:p>
    <w:p>
      <w:pPr>
        <w:pStyle w:val="Normal"/>
        <w:numPr>
          <w:ilvl w:val="0"/>
          <w:numId w:val="0"/>
        </w:numPr>
        <w:spacing w:lineRule="auto" w:line="312" w:before="0" w:after="144"/>
        <w:jc w:val="both"/>
        <w:outlineLvl w:val="1"/>
        <w:rPr/>
      </w:pPr>
      <w:r>
        <w:rPr>
          <w:rFonts w:eastAsia="Times New Roman" w:cs="Times New Roman" w:ascii="Times New Roman" w:hAnsi="Times New Roman"/>
          <w:b/>
          <w:bCs/>
          <w:lang w:val="vi-VN"/>
        </w:rPr>
        <w:t>1.Main contents:</w:t>
      </w:r>
      <w:r>
        <w:rPr>
          <w:rFonts w:eastAsia="Times New Roman" w:cs="Times New Roman" w:ascii="Times New Roman" w:hAnsi="Times New Roman"/>
          <w:lang w:val="vi-VN"/>
        </w:rPr>
        <w:t xml:space="preserve"> Circular 41/2026/TT-BTC prescribes a comprehensive legal framework on the declaration, payment of tax and deduction responsibility in the crypto asset market, specifically including the following core contents:</w:t>
      </w:r>
    </w:p>
    <w:p>
      <w:pPr>
        <w:pStyle w:val="ListParagraph"/>
        <w:numPr>
          <w:ilvl w:val="0"/>
          <w:numId w:val="0"/>
        </w:numPr>
        <w:spacing w:lineRule="auto" w:line="312" w:before="0" w:after="144"/>
        <w:ind w:left="771" w:hanging="0"/>
        <w:contextualSpacing/>
        <w:jc w:val="both"/>
        <w:outlineLvl w:val="1"/>
        <w:rPr/>
      </w:pPr>
      <w:r>
        <w:rPr>
          <w:rFonts w:eastAsia="Times New Roman" w:cs="Times New Roman" w:ascii="Times New Roman" w:hAnsi="Times New Roman"/>
          <w:b/>
          <w:bCs/>
          <w:lang w:val="vi-VN"/>
        </w:rPr>
        <w:t>- Applicable subjects:</w:t>
      </w:r>
      <w:r>
        <w:rPr>
          <w:rFonts w:eastAsia="Times New Roman" w:cs="Times New Roman" w:ascii="Times New Roman" w:hAnsi="Times New Roman"/>
          <w:lang w:val="vi-VN"/>
        </w:rPr>
        <w:t xml:space="preserve"> Applied to related organizations, individuals, in which the subject bearing the main responsibility </w:t>
      </w:r>
      <w:r>
        <w:rPr>
          <w:rFonts w:eastAsia="Times New Roman" w:cs="Times New Roman" w:ascii="Times New Roman" w:hAnsi="Times New Roman"/>
          <w:b/>
          <w:bCs/>
          <w:lang w:val="vi-VN"/>
        </w:rPr>
        <w:t>is the Organization having crypto asset service provision activities</w:t>
      </w:r>
      <w:r>
        <w:rPr>
          <w:rFonts w:eastAsia="Times New Roman" w:cs="Times New Roman" w:ascii="Times New Roman" w:hAnsi="Times New Roman"/>
          <w:lang w:val="vi-VN"/>
        </w:rPr>
        <w:t xml:space="preserve"> (briefly referred to as the Service Provision Organization) established and operating according to the provisions of the law of Vietnam, having activities of trading, transferring, conducting business in crypto assets. </w:t>
      </w:r>
      <w:r>
        <w:rPr>
          <w:rFonts w:eastAsia="Times New Roman" w:cs="Times New Roman" w:ascii="Times New Roman" w:hAnsi="Times New Roman"/>
          <w:i/>
          <w:iCs/>
          <w:lang w:val="vi-VN"/>
        </w:rPr>
        <w:t>(Legal Basis: Article 2 and Article 3 of Circular 41/2026/TT-BTC,).</w:t>
      </w:r>
    </w:p>
    <w:p>
      <w:pPr>
        <w:pStyle w:val="ListParagraph"/>
        <w:numPr>
          <w:ilvl w:val="0"/>
          <w:numId w:val="0"/>
        </w:numPr>
        <w:spacing w:lineRule="auto" w:line="312" w:before="0" w:after="144"/>
        <w:ind w:left="771" w:hanging="0"/>
        <w:contextualSpacing/>
        <w:jc w:val="both"/>
        <w:outlineLvl w:val="1"/>
        <w:rPr/>
      </w:pPr>
      <w:r>
        <w:rPr>
          <w:rFonts w:eastAsia="Times New Roman" w:cs="Times New Roman" w:ascii="Times New Roman" w:hAnsi="Times New Roman"/>
          <w:b/>
          <w:bCs/>
          <w:lang w:val="vi-VN"/>
        </w:rPr>
        <w:t>- Components of the tax declaration dossier:</w:t>
      </w:r>
    </w:p>
    <w:p>
      <w:pPr>
        <w:pStyle w:val="ListParagraph"/>
        <w:numPr>
          <w:ilvl w:val="0"/>
          <w:numId w:val="0"/>
        </w:numPr>
        <w:spacing w:lineRule="auto" w:line="312" w:before="0" w:after="144"/>
        <w:ind w:left="1127" w:hanging="0"/>
        <w:contextualSpacing/>
        <w:jc w:val="both"/>
        <w:outlineLvl w:val="1"/>
        <w:rPr/>
      </w:pPr>
      <w:r>
        <w:rPr>
          <w:rFonts w:eastAsia="Times New Roman" w:cs="Times New Roman" w:ascii="Times New Roman" w:hAnsi="Times New Roman"/>
          <w:lang w:val="vi-VN"/>
        </w:rPr>
        <w:t xml:space="preserve">+ </w:t>
      </w:r>
      <w:r>
        <w:rPr>
          <w:rFonts w:eastAsia="Times New Roman" w:cs="Times New Roman" w:ascii="Times New Roman" w:hAnsi="Times New Roman"/>
          <w:lang w:val="vi-VN"/>
        </w:rPr>
        <w:t xml:space="preserve">For the VAT and CIT of the Service Provision Organization: The tax declaration dossier is executed according to the list prescribed at Section 2 (for VAT) and Section 7 (for CIT) of Appendix I promulgated together with Decree 126/2020/NĐ-CP. The corresponding declaration form is applied according to Appendix II promulgated together with Circular 80/2021/TT-BTC. </w:t>
      </w:r>
      <w:r>
        <w:rPr>
          <w:rFonts w:eastAsia="Times New Roman" w:cs="Times New Roman" w:ascii="Times New Roman" w:hAnsi="Times New Roman"/>
          <w:i/>
          <w:iCs/>
          <w:lang w:val="vi-VN"/>
        </w:rPr>
        <w:t>(Legal Basis: clause 1 and clause 2 Article 3 of Circular 41/2026/TT-BTC,,).</w:t>
      </w:r>
    </w:p>
    <w:p>
      <w:pPr>
        <w:pStyle w:val="ListParagraph"/>
        <w:numPr>
          <w:ilvl w:val="0"/>
          <w:numId w:val="0"/>
        </w:numPr>
        <w:spacing w:lineRule="auto" w:line="312" w:before="0" w:after="144"/>
        <w:ind w:left="1127" w:hanging="0"/>
        <w:contextualSpacing/>
        <w:jc w:val="both"/>
        <w:outlineLvl w:val="1"/>
        <w:rPr/>
      </w:pPr>
      <w:r>
        <w:rPr>
          <w:rFonts w:eastAsia="Times New Roman" w:cs="Times New Roman" w:ascii="Times New Roman" w:hAnsi="Times New Roman"/>
          <w:lang w:val="vi-VN"/>
        </w:rPr>
        <w:t xml:space="preserve">+ </w:t>
      </w:r>
      <w:r>
        <w:rPr>
          <w:rFonts w:eastAsia="Times New Roman" w:cs="Times New Roman" w:ascii="Times New Roman" w:hAnsi="Times New Roman"/>
          <w:lang w:val="vi-VN"/>
        </w:rPr>
        <w:t xml:space="preserve">For the declaration dossier of the deducted tax amount:: Mandatorily including the Tax deduction declaration (Form No 01/TSMH) and the Detailed statement of the deducted tax amount (Form No 01-1/BK-TSMH). </w:t>
      </w:r>
      <w:r>
        <w:rPr>
          <w:rFonts w:eastAsia="Times New Roman" w:cs="Times New Roman" w:ascii="Times New Roman" w:hAnsi="Times New Roman"/>
          <w:i/>
          <w:iCs/>
          <w:lang w:val="vi-VN"/>
        </w:rPr>
        <w:t>(Legal Basis</w:t>
      </w:r>
      <w:r>
        <w:rPr>
          <w:lang w:val="vi-VN"/>
        </w:rPr>
        <w:t xml:space="preserve"> </w:t>
      </w:r>
      <w:r>
        <w:rPr>
          <w:rFonts w:eastAsia="Times New Roman" w:cs="Times New Roman" w:ascii="Times New Roman" w:hAnsi="Times New Roman"/>
          <w:i/>
          <w:iCs/>
          <w:lang w:val="vi-VN"/>
        </w:rPr>
        <w:t>Legal Basis: point b clause 3 Article 4 of Circular 41/2026/TT-BTC).</w:t>
      </w:r>
    </w:p>
    <w:p>
      <w:pPr>
        <w:pStyle w:val="ListParagraph"/>
        <w:numPr>
          <w:ilvl w:val="0"/>
          <w:numId w:val="0"/>
        </w:numPr>
        <w:spacing w:lineRule="auto" w:line="312" w:before="0" w:after="144"/>
        <w:ind w:left="1127" w:hanging="0"/>
        <w:contextualSpacing/>
        <w:jc w:val="both"/>
        <w:outlineLvl w:val="1"/>
        <w:rPr/>
      </w:pPr>
      <w:r>
        <w:rPr>
          <w:rFonts w:eastAsia="Times New Roman" w:cs="Times New Roman" w:ascii="Times New Roman" w:hAnsi="Times New Roman"/>
          <w:b/>
          <w:bCs/>
          <w:lang w:val="vi-VN"/>
        </w:rPr>
        <w:t>- Form and Receiving authority</w:t>
      </w:r>
      <w:r>
        <w:rPr>
          <w:rFonts w:eastAsia="Times New Roman" w:cs="Times New Roman" w:ascii="Times New Roman" w:hAnsi="Times New Roman"/>
          <w:lang w:val="vi-VN"/>
        </w:rPr>
        <w:t xml:space="preserve">: The Service Provision Organization is mandatorily required to submit the tax declaration dossier by electronic methods. The agency receiving and processing the dossier is the directly managing tax authority decided by the Director of the Tax Department. </w:t>
      </w:r>
      <w:r>
        <w:rPr>
          <w:rFonts w:eastAsia="Times New Roman" w:cs="Times New Roman" w:ascii="Times New Roman" w:hAnsi="Times New Roman"/>
          <w:i/>
          <w:iCs/>
          <w:lang w:val="vi-VN"/>
        </w:rPr>
        <w:t>(Legal Basis: clause 3 Article 3 and clause 4 Article 4 of Circular 41/2026/TT-BTC,).</w:t>
      </w:r>
    </w:p>
    <w:p>
      <w:pPr>
        <w:pStyle w:val="ListParagraph"/>
        <w:numPr>
          <w:ilvl w:val="0"/>
          <w:numId w:val="0"/>
        </w:numPr>
        <w:spacing w:lineRule="auto" w:line="312" w:before="0" w:after="144"/>
        <w:ind w:left="1127" w:hanging="0"/>
        <w:contextualSpacing/>
        <w:jc w:val="both"/>
        <w:outlineLvl w:val="1"/>
        <w:rPr/>
      </w:pPr>
      <w:r>
        <w:rPr>
          <w:rFonts w:eastAsia="Times New Roman" w:cs="Times New Roman" w:ascii="Times New Roman" w:hAnsi="Times New Roman"/>
          <w:b/>
          <w:bCs/>
          <w:lang w:val="vi-VN"/>
        </w:rPr>
        <w:t>- Conditions, deadlines for Provisional tax payment and finalization of CIT</w:t>
      </w:r>
      <w:r>
        <w:rPr>
          <w:rFonts w:eastAsia="Times New Roman" w:cs="Times New Roman" w:ascii="Times New Roman" w:hAnsi="Times New Roman"/>
          <w:lang w:val="vi-VN"/>
        </w:rPr>
        <w:t xml:space="preserve">: The Service Provision Organization must determine and temporarily pay CIT on a quarterly basis. The temporarily paid tax amount is deducted from the payable tax amount upon annual finalization. </w:t>
      </w:r>
      <w:r>
        <w:rPr>
          <w:rFonts w:eastAsia="Times New Roman" w:cs="Times New Roman" w:ascii="Times New Roman" w:hAnsi="Times New Roman"/>
          <w:b/>
          <w:bCs/>
          <w:lang w:val="vi-VN"/>
        </w:rPr>
        <w:t>At the latest deadline</w:t>
      </w:r>
      <w:r>
        <w:rPr>
          <w:rFonts w:eastAsia="Times New Roman" w:cs="Times New Roman" w:ascii="Times New Roman" w:hAnsi="Times New Roman"/>
          <w:lang w:val="vi-VN"/>
        </w:rPr>
        <w:t xml:space="preserve"> on the last day of the 3rd month from the ending date of the financial year, the enterprise is mandatorily required to submit the annual tax finalization dossier</w:t>
      </w:r>
      <w:r>
        <w:rPr>
          <w:rFonts w:eastAsia="Times New Roman" w:cs="Times New Roman" w:ascii="Times New Roman" w:hAnsi="Times New Roman"/>
          <w:i/>
          <w:iCs/>
          <w:lang w:val="vi-VN"/>
        </w:rPr>
        <w:t>. (Legal Basis: clause 2 Article 3 of Circular 41/2026/TT-BTC).</w:t>
      </w:r>
    </w:p>
    <w:p>
      <w:pPr>
        <w:pStyle w:val="ListParagraph"/>
        <w:numPr>
          <w:ilvl w:val="0"/>
          <w:numId w:val="0"/>
        </w:numPr>
        <w:spacing w:lineRule="auto" w:line="312" w:before="0" w:after="144"/>
        <w:ind w:left="1127" w:hanging="0"/>
        <w:contextualSpacing/>
        <w:jc w:val="both"/>
        <w:outlineLvl w:val="1"/>
        <w:rPr/>
      </w:pPr>
      <w:r>
        <w:rPr>
          <w:rFonts w:eastAsia="Times New Roman" w:cs="Times New Roman" w:ascii="Times New Roman" w:hAnsi="Times New Roman"/>
          <w:b/>
          <w:bCs/>
          <w:lang w:val="vi-VN"/>
        </w:rPr>
        <w:t>- Responsibility and timing of deductive tax payment on behalf</w:t>
      </w:r>
      <w:r>
        <w:rPr>
          <w:rFonts w:eastAsia="Times New Roman" w:cs="Times New Roman" w:ascii="Times New Roman" w:hAnsi="Times New Roman"/>
          <w:lang w:val="vi-VN"/>
        </w:rPr>
        <w:t xml:space="preserve">: The Service Provision Organization has the responsibility to deduct and pay CIT on behalf of foreign organizations and PIT on behalf of individuals participating in transfer transactions.The timing of executing the deduction is exactly at the moment of confirming the successful crypto asset transfer transaction. </w:t>
      </w:r>
      <w:r>
        <w:rPr>
          <w:rFonts w:eastAsia="Times New Roman" w:cs="Times New Roman" w:ascii="Times New Roman" w:hAnsi="Times New Roman"/>
          <w:i/>
          <w:iCs/>
          <w:lang w:val="vi-VN"/>
        </w:rPr>
        <w:t>(Legal Basis: clause 1 and point a clause 2 Article 4 of Circular 41/2026/TT-BTC,).</w:t>
      </w:r>
    </w:p>
    <w:p>
      <w:pPr>
        <w:pStyle w:val="ListParagraph"/>
        <w:numPr>
          <w:ilvl w:val="0"/>
          <w:numId w:val="0"/>
        </w:numPr>
        <w:spacing w:lineRule="auto" w:line="312" w:before="0" w:after="144"/>
        <w:ind w:left="1127" w:hanging="0"/>
        <w:contextualSpacing/>
        <w:jc w:val="both"/>
        <w:outlineLvl w:val="1"/>
        <w:rPr/>
      </w:pPr>
      <w:r>
        <w:rPr>
          <w:rFonts w:eastAsia="Times New Roman" w:cs="Times New Roman" w:ascii="Times New Roman" w:hAnsi="Times New Roman"/>
          <w:b/>
          <w:bCs/>
          <w:lang w:val="vi-VN"/>
        </w:rPr>
        <w:t>- Deadline for submission of the deductive tax declaration dossier</w:t>
      </w:r>
      <w:r>
        <w:rPr>
          <w:rFonts w:eastAsia="Times New Roman" w:cs="Times New Roman" w:ascii="Times New Roman" w:hAnsi="Times New Roman"/>
          <w:lang w:val="vi-VN"/>
        </w:rPr>
        <w:t xml:space="preserve">: The organization executes the declaration of the deducted tax amount on a monthly basis, with the deadline for submission of the tax declaration dossier being at the latest day 20 of the month following the month in which the tax obligation arises. </w:t>
      </w:r>
      <w:r>
        <w:rPr>
          <w:rFonts w:eastAsia="Times New Roman" w:cs="Times New Roman" w:ascii="Times New Roman" w:hAnsi="Times New Roman"/>
          <w:i/>
          <w:iCs/>
          <w:lang w:val="vi-VN"/>
        </w:rPr>
        <w:t>(Legal Basis: point a and point c clause 3 Article 4 of Circular 41/2026/TT-BTC,).</w:t>
      </w:r>
    </w:p>
    <w:p>
      <w:pPr>
        <w:pStyle w:val="Normal"/>
        <w:numPr>
          <w:ilvl w:val="0"/>
          <w:numId w:val="0"/>
        </w:numPr>
        <w:spacing w:lineRule="auto" w:line="312" w:before="0" w:after="144"/>
        <w:jc w:val="both"/>
        <w:outlineLvl w:val="1"/>
        <w:rPr/>
      </w:pPr>
      <w:r>
        <w:rPr>
          <w:rFonts w:eastAsia="Times New Roman" w:cs="Times New Roman" w:ascii="Times New Roman" w:hAnsi="Times New Roman"/>
          <w:b/>
          <w:bCs/>
          <w:lang w:val="vi-VN"/>
        </w:rPr>
        <w:t>2. Biggest impacts:</w:t>
      </w:r>
      <w:r>
        <w:rPr>
          <w:rFonts w:eastAsia="Times New Roman" w:cs="Times New Roman" w:ascii="Times New Roman" w:hAnsi="Times New Roman"/>
          <w:lang w:val="vi-VN"/>
        </w:rPr>
        <w:t xml:space="preserve"> Exchanges and crypto asset service provision units must completely convert to the electronic tax declaration schedule and strictly comply with the Provisional tax payment of CIT on a quarterly basis. At the same time, the management responsibility of the Service Provision Organization increases significantly when it must directly monitor, aggregate and deduct tax on behalf of customers immediately upon the arising of transfer transactions. </w:t>
      </w:r>
      <w:r>
        <w:rPr>
          <w:rFonts w:eastAsia="Times New Roman" w:cs="Times New Roman" w:ascii="Times New Roman" w:hAnsi="Times New Roman"/>
          <w:i/>
          <w:iCs/>
          <w:lang w:val="vi-VN"/>
        </w:rPr>
        <w:t>(Legal Basis: Article 3 and Article 4 of Circular 41/2026/TT-BTC,,).</w:t>
      </w:r>
    </w:p>
    <w:p>
      <w:pPr>
        <w:pStyle w:val="Normal"/>
        <w:numPr>
          <w:ilvl w:val="0"/>
          <w:numId w:val="0"/>
        </w:numPr>
        <w:spacing w:lineRule="auto" w:line="312" w:before="0" w:after="144"/>
        <w:jc w:val="both"/>
        <w:outlineLvl w:val="1"/>
        <w:rPr/>
      </w:pPr>
      <w:r>
        <w:rPr>
          <w:rFonts w:eastAsia="Times New Roman" w:cs="Times New Roman" w:ascii="Times New Roman" w:hAnsi="Times New Roman"/>
          <w:b/>
          <w:bCs/>
          <w:lang w:val="vi-VN"/>
        </w:rPr>
        <w:t>3.Risks in case of failure to comply</w:t>
      </w:r>
    </w:p>
    <w:p>
      <w:pPr>
        <w:pStyle w:val="ListParagraph"/>
        <w:numPr>
          <w:ilvl w:val="0"/>
          <w:numId w:val="0"/>
        </w:numPr>
        <w:spacing w:lineRule="auto" w:line="312" w:before="0" w:after="144"/>
        <w:ind w:left="720" w:hanging="0"/>
        <w:contextualSpacing/>
        <w:jc w:val="both"/>
        <w:outlineLvl w:val="1"/>
        <w:rPr/>
      </w:pPr>
      <w:r>
        <w:rPr>
          <w:rFonts w:eastAsia="Times New Roman" w:cs="Times New Roman" w:ascii="Times New Roman" w:hAnsi="Times New Roman"/>
          <w:lang w:val="vi-VN"/>
        </w:rPr>
        <w:t xml:space="preserve">- If using the wrong dossier forms or submitting wrongly compared to the prescribed deadlines, the enterprise will incur late payment fines, have the dossier returned or must waste time declaring again from the beginning. </w:t>
      </w:r>
      <w:r>
        <w:rPr>
          <w:rFonts w:eastAsia="Times New Roman" w:cs="Times New Roman" w:ascii="Times New Roman" w:hAnsi="Times New Roman"/>
          <w:i/>
          <w:iCs/>
          <w:lang w:val="vi-VN"/>
        </w:rPr>
        <w:t>(Legal Basis: General sanctions according to the law on tax administration cited at Article 6 of Circular 41/2026/TT-BTC).</w:t>
      </w:r>
    </w:p>
    <w:p>
      <w:pPr>
        <w:pStyle w:val="ListParagraph"/>
        <w:numPr>
          <w:ilvl w:val="0"/>
          <w:numId w:val="0"/>
        </w:numPr>
        <w:spacing w:lineRule="auto" w:line="312" w:before="0" w:after="144"/>
        <w:ind w:left="720" w:hanging="0"/>
        <w:contextualSpacing/>
        <w:jc w:val="both"/>
        <w:outlineLvl w:val="1"/>
        <w:rPr/>
      </w:pPr>
      <w:r>
        <w:rPr>
          <w:rFonts w:eastAsia="Times New Roman" w:cs="Times New Roman" w:ascii="Times New Roman" w:hAnsi="Times New Roman"/>
          <w:lang w:val="vi-VN"/>
        </w:rPr>
        <w:t xml:space="preserve">- The failure to strictly monitor and correctly record the temporarily paid CIT amount of the quarters will lead to the risk of financial obligation discrepancies upon executing the annual finalization. </w:t>
      </w:r>
      <w:r>
        <w:rPr>
          <w:rFonts w:eastAsia="Times New Roman" w:cs="Times New Roman" w:ascii="Times New Roman" w:hAnsi="Times New Roman"/>
          <w:i/>
          <w:iCs/>
          <w:lang w:val="vi-VN"/>
        </w:rPr>
        <w:t>(Legal Basis: clause 2 Article 3 of Circular 41/2026/TT-BTC).</w:t>
      </w:r>
    </w:p>
    <w:p>
      <w:pPr>
        <w:pStyle w:val="ListParagraph"/>
        <w:numPr>
          <w:ilvl w:val="0"/>
          <w:numId w:val="0"/>
        </w:numPr>
        <w:spacing w:lineRule="auto" w:line="312" w:before="0" w:after="144"/>
        <w:ind w:left="720" w:hanging="0"/>
        <w:contextualSpacing/>
        <w:jc w:val="both"/>
        <w:outlineLvl w:val="1"/>
        <w:rPr/>
      </w:pPr>
      <w:r>
        <w:rPr>
          <w:rFonts w:eastAsia="Times New Roman" w:cs="Times New Roman" w:ascii="Times New Roman" w:hAnsi="Times New Roman"/>
          <w:lang w:val="vi-VN"/>
        </w:rPr>
        <w:t xml:space="preserve">- The Service Provision Organization must bear responsibility before the law for the accuracy, truthfulness, completeness of the tax dossier. If the system lacks transparency, inaccurately stores data for tax deduction, the enterprise will be handled for administrative violations regarding tax. </w:t>
      </w:r>
      <w:r>
        <w:rPr>
          <w:rFonts w:eastAsia="Times New Roman" w:cs="Times New Roman" w:ascii="Times New Roman" w:hAnsi="Times New Roman"/>
          <w:i/>
          <w:iCs/>
          <w:lang w:val="vi-VN"/>
        </w:rPr>
        <w:t>(Legal Basis: clause 1 Article 5 of Circular 41/2026/TT-BTC).</w:t>
      </w:r>
    </w:p>
    <w:p>
      <w:pPr>
        <w:pStyle w:val="Normal"/>
        <w:numPr>
          <w:ilvl w:val="0"/>
          <w:numId w:val="0"/>
        </w:numPr>
        <w:spacing w:lineRule="auto" w:line="312" w:before="0" w:after="144"/>
        <w:jc w:val="both"/>
        <w:outlineLvl w:val="1"/>
        <w:rPr/>
      </w:pPr>
      <w:r>
        <w:rPr>
          <w:rFonts w:eastAsia="Times New Roman" w:cs="Times New Roman" w:ascii="Times New Roman" w:hAnsi="Times New Roman"/>
          <w:b/>
          <w:bCs/>
          <w:lang w:val="vi-VN"/>
        </w:rPr>
        <w:t>4.Proposed action plan</w:t>
      </w:r>
    </w:p>
    <w:p>
      <w:pPr>
        <w:pStyle w:val="ListParagraph"/>
        <w:numPr>
          <w:ilvl w:val="0"/>
          <w:numId w:val="0"/>
        </w:numPr>
        <w:spacing w:lineRule="auto" w:line="312" w:before="0" w:after="144"/>
        <w:ind w:left="720" w:hanging="0"/>
        <w:contextualSpacing/>
        <w:jc w:val="both"/>
        <w:outlineLvl w:val="1"/>
        <w:rPr/>
      </w:pPr>
      <w:r>
        <w:rPr>
          <w:rFonts w:eastAsia="Times New Roman" w:cs="Times New Roman" w:ascii="Times New Roman" w:hAnsi="Times New Roman"/>
          <w:lang w:val="vi-VN"/>
        </w:rPr>
        <w:t xml:space="preserve">- Establish and set up a separate tax payment schedule for the crypto asset segment according to the cycle of month/quarter/year. </w:t>
      </w:r>
    </w:p>
    <w:p>
      <w:pPr>
        <w:pStyle w:val="ListParagraph"/>
        <w:numPr>
          <w:ilvl w:val="0"/>
          <w:numId w:val="0"/>
        </w:numPr>
        <w:spacing w:lineRule="auto" w:line="312" w:before="0" w:after="144"/>
        <w:ind w:left="720" w:hanging="0"/>
        <w:contextualSpacing/>
        <w:jc w:val="both"/>
        <w:outlineLvl w:val="1"/>
        <w:rPr/>
      </w:pPr>
      <w:r>
        <w:rPr>
          <w:rFonts w:eastAsia="Times New Roman" w:cs="Times New Roman" w:ascii="Times New Roman" w:hAnsi="Times New Roman"/>
          <w:lang w:val="vi-VN"/>
        </w:rPr>
        <w:t xml:space="preserve">- The finance department needs to immediately finalize the standard form set (including the Declaration Form 01/TSMH, Statement 01-1/BK-TSMH) and assign the focal point to submit the electronic tax dossier starting from 06/04/2026. </w:t>
      </w:r>
      <w:r>
        <w:rPr>
          <w:rFonts w:eastAsia="Times New Roman" w:cs="Times New Roman" w:ascii="Times New Roman" w:hAnsi="Times New Roman"/>
          <w:i/>
          <w:iCs/>
          <w:lang w:val="vi-VN"/>
        </w:rPr>
        <w:t>(Legal Basis: point b clause 3 Article 4 and Article 6 of Circular 41/2026/TT-BTC,).</w:t>
      </w:r>
    </w:p>
    <w:p>
      <w:pPr>
        <w:pStyle w:val="Normal"/>
        <w:numPr>
          <w:ilvl w:val="0"/>
          <w:numId w:val="0"/>
        </w:numPr>
        <w:spacing w:lineRule="auto" w:line="312" w:before="0" w:after="144"/>
        <w:jc w:val="both"/>
        <w:outlineLvl w:val="1"/>
        <w:rPr/>
      </w:pPr>
      <w:r>
        <w:rPr>
          <w:rFonts w:eastAsia="Times New Roman" w:cs="Times New Roman" w:ascii="Times New Roman" w:hAnsi="Times New Roman"/>
          <w:b/>
          <w:bCs/>
          <w:lang w:val="vi-VN"/>
        </w:rPr>
        <w:t>5.Notes and recommendations for customers</w:t>
      </w:r>
    </w:p>
    <w:p>
      <w:pPr>
        <w:pStyle w:val="ListParagraph"/>
        <w:numPr>
          <w:ilvl w:val="0"/>
          <w:numId w:val="0"/>
        </w:numPr>
        <w:spacing w:lineRule="auto" w:line="312" w:before="0" w:after="144"/>
        <w:ind w:left="720" w:hanging="0"/>
        <w:contextualSpacing/>
        <w:jc w:val="both"/>
        <w:outlineLvl w:val="1"/>
        <w:rPr/>
      </w:pPr>
      <w:r>
        <w:rPr>
          <w:rFonts w:eastAsia="Times New Roman" w:cs="Times New Roman" w:ascii="Times New Roman" w:hAnsi="Times New Roman"/>
          <w:b/>
          <w:bCs/>
          <w:lang w:val="vi-VN"/>
        </w:rPr>
        <w:t>- Upgrading the IT system:</w:t>
      </w:r>
      <w:r>
        <w:rPr>
          <w:rFonts w:eastAsia="Times New Roman" w:cs="Times New Roman" w:ascii="Times New Roman" w:hAnsi="Times New Roman"/>
          <w:lang w:val="vi-VN"/>
        </w:rPr>
        <w:t xml:space="preserve"> The enterprise is mandatorily required to build, operate the information technology system to ensure the ability to fully, accurately store data according to each transaction. This system needs to have the ability to extract, aggregate and convert data according to structured formats (such as the XML format) to serve the inspection, crosschecking of the tax authority. </w:t>
      </w:r>
    </w:p>
    <w:p>
      <w:pPr>
        <w:pStyle w:val="ListParagraph"/>
        <w:numPr>
          <w:ilvl w:val="0"/>
          <w:numId w:val="0"/>
        </w:numPr>
        <w:spacing w:lineRule="auto" w:line="312" w:before="0" w:after="144"/>
        <w:ind w:left="720" w:hanging="0"/>
        <w:contextualSpacing/>
        <w:jc w:val="both"/>
        <w:outlineLvl w:val="1"/>
        <w:rPr/>
      </w:pPr>
      <w:r>
        <w:rPr>
          <w:rFonts w:eastAsia="Times New Roman" w:cs="Times New Roman" w:ascii="Times New Roman" w:hAnsi="Times New Roman"/>
          <w:b/>
          <w:bCs/>
          <w:lang w:val="vi-VN"/>
        </w:rPr>
        <w:t>- Issuing electronic documents for users</w:t>
      </w:r>
      <w:r>
        <w:rPr>
          <w:rFonts w:eastAsia="Times New Roman" w:cs="Times New Roman" w:ascii="Times New Roman" w:hAnsi="Times New Roman"/>
          <w:lang w:val="vi-VN"/>
        </w:rPr>
        <w:t>: The company should proactively build the feature of automatically issuing documents on the system to ensure timeliness.</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71" w:hanging="360"/>
      </w:pPr>
      <w:rPr>
        <w:rFonts w:ascii="Symbol" w:hAnsi="Symbol" w:cs="Symbol" w:hint="default"/>
      </w:rPr>
    </w:lvl>
    <w:lvl w:ilvl="1">
      <w:start w:val="1"/>
      <w:numFmt w:val="bullet"/>
      <w:lvlText w:val="o"/>
      <w:lvlJc w:val="left"/>
      <w:pPr>
        <w:ind w:left="1491" w:hanging="360"/>
      </w:pPr>
      <w:rPr>
        <w:rFonts w:ascii="Courier New" w:hAnsi="Courier New" w:cs="Courier New" w:hint="default"/>
        <w:rFonts w:cs="Courier New"/>
      </w:rPr>
    </w:lvl>
    <w:lvl w:ilvl="2">
      <w:start w:val="1"/>
      <w:numFmt w:val="bullet"/>
      <w:lvlText w:val=""/>
      <w:lvlJc w:val="left"/>
      <w:pPr>
        <w:ind w:left="2211" w:hanging="360"/>
      </w:pPr>
      <w:rPr>
        <w:rFonts w:ascii="Wingdings" w:hAnsi="Wingdings" w:cs="Wingdings" w:hint="default"/>
      </w:rPr>
    </w:lvl>
    <w:lvl w:ilvl="3">
      <w:start w:val="1"/>
      <w:numFmt w:val="bullet"/>
      <w:lvlText w:val=""/>
      <w:lvlJc w:val="left"/>
      <w:pPr>
        <w:ind w:left="2931" w:hanging="360"/>
      </w:pPr>
      <w:rPr>
        <w:rFonts w:ascii="Symbol" w:hAnsi="Symbol" w:cs="Symbol" w:hint="default"/>
      </w:rPr>
    </w:lvl>
    <w:lvl w:ilvl="4">
      <w:start w:val="1"/>
      <w:numFmt w:val="bullet"/>
      <w:lvlText w:val="o"/>
      <w:lvlJc w:val="left"/>
      <w:pPr>
        <w:ind w:left="3651" w:hanging="360"/>
      </w:pPr>
      <w:rPr>
        <w:rFonts w:ascii="Courier New" w:hAnsi="Courier New" w:cs="Courier New" w:hint="default"/>
        <w:rFonts w:cs="Courier New"/>
      </w:rPr>
    </w:lvl>
    <w:lvl w:ilvl="5">
      <w:start w:val="1"/>
      <w:numFmt w:val="bullet"/>
      <w:lvlText w:val=""/>
      <w:lvlJc w:val="left"/>
      <w:pPr>
        <w:ind w:left="4371" w:hanging="360"/>
      </w:pPr>
      <w:rPr>
        <w:rFonts w:ascii="Wingdings" w:hAnsi="Wingdings" w:cs="Wingdings" w:hint="default"/>
      </w:rPr>
    </w:lvl>
    <w:lvl w:ilvl="6">
      <w:start w:val="1"/>
      <w:numFmt w:val="bullet"/>
      <w:lvlText w:val=""/>
      <w:lvlJc w:val="left"/>
      <w:pPr>
        <w:ind w:left="5091" w:hanging="360"/>
      </w:pPr>
      <w:rPr>
        <w:rFonts w:ascii="Symbol" w:hAnsi="Symbol" w:cs="Symbol" w:hint="default"/>
      </w:rPr>
    </w:lvl>
    <w:lvl w:ilvl="7">
      <w:start w:val="1"/>
      <w:numFmt w:val="bullet"/>
      <w:lvlText w:val="o"/>
      <w:lvlJc w:val="left"/>
      <w:pPr>
        <w:ind w:left="5811" w:hanging="360"/>
      </w:pPr>
      <w:rPr>
        <w:rFonts w:ascii="Courier New" w:hAnsi="Courier New" w:cs="Courier New" w:hint="default"/>
        <w:rFonts w:cs="Courier New"/>
      </w:rPr>
    </w:lvl>
    <w:lvl w:ilvl="8">
      <w:start w:val="1"/>
      <w:numFmt w:val="bullet"/>
      <w:lvlText w:val=""/>
      <w:lvlJc w:val="left"/>
      <w:pPr>
        <w:ind w:left="6531" w:hanging="360"/>
      </w:pPr>
      <w:rPr>
        <w:rFonts w:ascii="Wingdings" w:hAnsi="Wingdings" w:cs="Wingdings" w:hint="default"/>
      </w:rPr>
    </w:lvl>
  </w:abstractNum>
  <w:abstractNum w:abstractNumId="3">
    <w:lvl w:ilvl="0">
      <w:start w:val="1"/>
      <w:numFmt w:val="bullet"/>
      <w:lvlText w:val=""/>
      <w:lvlJc w:val="left"/>
      <w:pPr>
        <w:ind w:left="1127" w:hanging="360"/>
      </w:pPr>
      <w:rPr>
        <w:rFonts w:ascii="Symbol" w:hAnsi="Symbol" w:cs="Symbol" w:hint="default"/>
      </w:rPr>
    </w:lvl>
    <w:lvl w:ilvl="1">
      <w:start w:val="1"/>
      <w:numFmt w:val="bullet"/>
      <w:lvlText w:val="o"/>
      <w:lvlJc w:val="left"/>
      <w:pPr>
        <w:ind w:left="1847" w:hanging="360"/>
      </w:pPr>
      <w:rPr>
        <w:rFonts w:ascii="Courier New" w:hAnsi="Courier New" w:cs="Courier New" w:hint="default"/>
        <w:rFonts w:cs="Courier New"/>
      </w:rPr>
    </w:lvl>
    <w:lvl w:ilvl="2">
      <w:start w:val="1"/>
      <w:numFmt w:val="bullet"/>
      <w:lvlText w:val=""/>
      <w:lvlJc w:val="left"/>
      <w:pPr>
        <w:ind w:left="2567" w:hanging="360"/>
      </w:pPr>
      <w:rPr>
        <w:rFonts w:ascii="Wingdings" w:hAnsi="Wingdings" w:cs="Wingdings" w:hint="default"/>
      </w:rPr>
    </w:lvl>
    <w:lvl w:ilvl="3">
      <w:start w:val="1"/>
      <w:numFmt w:val="bullet"/>
      <w:lvlText w:val=""/>
      <w:lvlJc w:val="left"/>
      <w:pPr>
        <w:ind w:left="3287" w:hanging="360"/>
      </w:pPr>
      <w:rPr>
        <w:rFonts w:ascii="Symbol" w:hAnsi="Symbol" w:cs="Symbol" w:hint="default"/>
      </w:rPr>
    </w:lvl>
    <w:lvl w:ilvl="4">
      <w:start w:val="1"/>
      <w:numFmt w:val="bullet"/>
      <w:lvlText w:val="o"/>
      <w:lvlJc w:val="left"/>
      <w:pPr>
        <w:ind w:left="4007" w:hanging="360"/>
      </w:pPr>
      <w:rPr>
        <w:rFonts w:ascii="Courier New" w:hAnsi="Courier New" w:cs="Courier New" w:hint="default"/>
        <w:rFonts w:cs="Courier New"/>
      </w:rPr>
    </w:lvl>
    <w:lvl w:ilvl="5">
      <w:start w:val="1"/>
      <w:numFmt w:val="bullet"/>
      <w:lvlText w:val=""/>
      <w:lvlJc w:val="left"/>
      <w:pPr>
        <w:ind w:left="4727" w:hanging="360"/>
      </w:pPr>
      <w:rPr>
        <w:rFonts w:ascii="Wingdings" w:hAnsi="Wingdings" w:cs="Wingdings" w:hint="default"/>
      </w:rPr>
    </w:lvl>
    <w:lvl w:ilvl="6">
      <w:start w:val="1"/>
      <w:numFmt w:val="bullet"/>
      <w:lvlText w:val=""/>
      <w:lvlJc w:val="left"/>
      <w:pPr>
        <w:ind w:left="5447" w:hanging="360"/>
      </w:pPr>
      <w:rPr>
        <w:rFonts w:ascii="Symbol" w:hAnsi="Symbol" w:cs="Symbol" w:hint="default"/>
      </w:rPr>
    </w:lvl>
    <w:lvl w:ilvl="7">
      <w:start w:val="1"/>
      <w:numFmt w:val="bullet"/>
      <w:lvlText w:val="o"/>
      <w:lvlJc w:val="left"/>
      <w:pPr>
        <w:ind w:left="6167" w:hanging="360"/>
      </w:pPr>
      <w:rPr>
        <w:rFonts w:ascii="Courier New" w:hAnsi="Courier New" w:cs="Courier New" w:hint="default"/>
        <w:rFonts w:cs="Courier New"/>
      </w:rPr>
    </w:lvl>
    <w:lvl w:ilvl="8">
      <w:start w:val="1"/>
      <w:numFmt w:val="bullet"/>
      <w:lvlText w:val=""/>
      <w:lvlJc w:val="left"/>
      <w:pPr>
        <w:ind w:left="6887" w:hanging="360"/>
      </w:pPr>
      <w:rPr>
        <w:rFonts w:ascii="Wingdings" w:hAnsi="Wingdings" w:cs="Wingdings" w:hint="default"/>
      </w:rPr>
    </w:lvl>
  </w:abstractNum>
  <w:abstractNum w:abstractNumId="4">
    <w:lvl w:ilvl="0">
      <w:start w:val="1"/>
      <w:numFmt w:val="bullet"/>
      <w:lvlText w:val=""/>
      <w:lvlJc w:val="left"/>
      <w:pPr>
        <w:ind w:left="1127" w:hanging="360"/>
      </w:pPr>
      <w:rPr>
        <w:rFonts w:ascii="Symbol" w:hAnsi="Symbol" w:cs="Symbol" w:hint="default"/>
      </w:rPr>
    </w:lvl>
    <w:lvl w:ilvl="1">
      <w:start w:val="1"/>
      <w:numFmt w:val="bullet"/>
      <w:lvlText w:val="o"/>
      <w:lvlJc w:val="left"/>
      <w:pPr>
        <w:ind w:left="1847" w:hanging="360"/>
      </w:pPr>
      <w:rPr>
        <w:rFonts w:ascii="Courier New" w:hAnsi="Courier New" w:cs="Courier New" w:hint="default"/>
        <w:rFonts w:cs="Courier New"/>
      </w:rPr>
    </w:lvl>
    <w:lvl w:ilvl="2">
      <w:start w:val="1"/>
      <w:numFmt w:val="bullet"/>
      <w:lvlText w:val=""/>
      <w:lvlJc w:val="left"/>
      <w:pPr>
        <w:ind w:left="2567" w:hanging="360"/>
      </w:pPr>
      <w:rPr>
        <w:rFonts w:ascii="Wingdings" w:hAnsi="Wingdings" w:cs="Wingdings" w:hint="default"/>
      </w:rPr>
    </w:lvl>
    <w:lvl w:ilvl="3">
      <w:start w:val="1"/>
      <w:numFmt w:val="bullet"/>
      <w:lvlText w:val=""/>
      <w:lvlJc w:val="left"/>
      <w:pPr>
        <w:ind w:left="3287" w:hanging="360"/>
      </w:pPr>
      <w:rPr>
        <w:rFonts w:ascii="Symbol" w:hAnsi="Symbol" w:cs="Symbol" w:hint="default"/>
      </w:rPr>
    </w:lvl>
    <w:lvl w:ilvl="4">
      <w:start w:val="1"/>
      <w:numFmt w:val="bullet"/>
      <w:lvlText w:val="o"/>
      <w:lvlJc w:val="left"/>
      <w:pPr>
        <w:ind w:left="4007" w:hanging="360"/>
      </w:pPr>
      <w:rPr>
        <w:rFonts w:ascii="Courier New" w:hAnsi="Courier New" w:cs="Courier New" w:hint="default"/>
        <w:rFonts w:cs="Courier New"/>
      </w:rPr>
    </w:lvl>
    <w:lvl w:ilvl="5">
      <w:start w:val="1"/>
      <w:numFmt w:val="bullet"/>
      <w:lvlText w:val=""/>
      <w:lvlJc w:val="left"/>
      <w:pPr>
        <w:ind w:left="4727" w:hanging="360"/>
      </w:pPr>
      <w:rPr>
        <w:rFonts w:ascii="Wingdings" w:hAnsi="Wingdings" w:cs="Wingdings" w:hint="default"/>
      </w:rPr>
    </w:lvl>
    <w:lvl w:ilvl="6">
      <w:start w:val="1"/>
      <w:numFmt w:val="bullet"/>
      <w:lvlText w:val=""/>
      <w:lvlJc w:val="left"/>
      <w:pPr>
        <w:ind w:left="5447" w:hanging="360"/>
      </w:pPr>
      <w:rPr>
        <w:rFonts w:ascii="Symbol" w:hAnsi="Symbol" w:cs="Symbol" w:hint="default"/>
      </w:rPr>
    </w:lvl>
    <w:lvl w:ilvl="7">
      <w:start w:val="1"/>
      <w:numFmt w:val="bullet"/>
      <w:lvlText w:val="o"/>
      <w:lvlJc w:val="left"/>
      <w:pPr>
        <w:ind w:left="6167" w:hanging="360"/>
      </w:pPr>
      <w:rPr>
        <w:rFonts w:ascii="Courier New" w:hAnsi="Courier New" w:cs="Courier New" w:hint="default"/>
        <w:rFonts w:cs="Courier New"/>
      </w:rPr>
    </w:lvl>
    <w:lvl w:ilvl="8">
      <w:start w:val="1"/>
      <w:numFmt w:val="bullet"/>
      <w:lvlText w:val=""/>
      <w:lvlJc w:val="left"/>
      <w:pPr>
        <w:ind w:left="6887" w:hanging="360"/>
      </w:pPr>
      <w:rPr>
        <w:rFonts w:ascii="Wingdings" w:hAnsi="Wingdings" w:cs="Wingdings" w:hint="default"/>
      </w:rPr>
    </w:lvl>
  </w:abstractNum>
  <w:abstractNum w:abstractNumId="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ListLabel98">
    <w:name w:val="ListLabel 98"/>
    <w:qFormat/>
    <w:rPr>
      <w:rFonts w:cs="Courier New"/>
    </w:rPr>
  </w:style>
  <w:style w:type="character" w:styleId="ListLabel99">
    <w:name w:val="ListLabel 99"/>
    <w:qFormat/>
    <w:rPr>
      <w:rFonts w:cs="Courier New"/>
    </w:rPr>
  </w:style>
  <w:style w:type="character" w:styleId="ListLabel100">
    <w:name w:val="ListLabel 100"/>
    <w:qFormat/>
    <w:rPr>
      <w:rFonts w:cs="Courier New"/>
    </w:rPr>
  </w:style>
  <w:style w:type="character" w:styleId="ListLabel83">
    <w:name w:val="ListLabel 83"/>
    <w:qFormat/>
    <w:rPr>
      <w:rFonts w:cs="Courier New"/>
    </w:rPr>
  </w:style>
  <w:style w:type="character" w:styleId="ListLabel84">
    <w:name w:val="ListLabel 84"/>
    <w:qFormat/>
    <w:rPr>
      <w:rFonts w:cs="Courier New"/>
    </w:rPr>
  </w:style>
  <w:style w:type="character" w:styleId="ListLabel85">
    <w:name w:val="ListLabel 85"/>
    <w:qFormat/>
    <w:rPr>
      <w:rFonts w:cs="Courier New"/>
    </w:rPr>
  </w:style>
  <w:style w:type="character" w:styleId="ListLabel86">
    <w:name w:val="ListLabel 86"/>
    <w:qFormat/>
    <w:rPr>
      <w:rFonts w:cs="Courier New"/>
    </w:rPr>
  </w:style>
  <w:style w:type="character" w:styleId="ListLabel87">
    <w:name w:val="ListLabel 87"/>
    <w:qFormat/>
    <w:rPr>
      <w:rFonts w:cs="Courier New"/>
    </w:rPr>
  </w:style>
  <w:style w:type="character" w:styleId="ListLabel88">
    <w:name w:val="ListLabel 88"/>
    <w:qFormat/>
    <w:rPr>
      <w:rFonts w:cs="Courier New"/>
    </w:rPr>
  </w:style>
  <w:style w:type="character" w:styleId="ListLabel89">
    <w:name w:val="ListLabel 89"/>
    <w:qFormat/>
    <w:rPr>
      <w:rFonts w:cs="Courier New"/>
    </w:rPr>
  </w:style>
  <w:style w:type="character" w:styleId="ListLabel90">
    <w:name w:val="ListLabel 90"/>
    <w:qFormat/>
    <w:rPr>
      <w:rFonts w:cs="Courier New"/>
    </w:rPr>
  </w:style>
  <w:style w:type="character" w:styleId="ListLabel91">
    <w:name w:val="ListLabel 91"/>
    <w:qFormat/>
    <w:rPr>
      <w:rFonts w:cs="Courier New"/>
    </w:rPr>
  </w:style>
  <w:style w:type="character" w:styleId="ListLabel92">
    <w:name w:val="ListLabel 92"/>
    <w:qFormat/>
    <w:rPr>
      <w:rFonts w:cs="Courier New"/>
    </w:rPr>
  </w:style>
  <w:style w:type="character" w:styleId="ListLabel93">
    <w:name w:val="ListLabel 93"/>
    <w:qFormat/>
    <w:rPr>
      <w:rFonts w:cs="Courier New"/>
    </w:rPr>
  </w:style>
  <w:style w:type="character" w:styleId="ListLabel94">
    <w:name w:val="ListLabel 94"/>
    <w:qFormat/>
    <w:rPr>
      <w:rFonts w:cs="Courier New"/>
    </w:rPr>
  </w:style>
  <w:style w:type="character" w:styleId="ListLabel95">
    <w:name w:val="ListLabel 95"/>
    <w:qFormat/>
    <w:rPr>
      <w:rFonts w:cs="Courier New"/>
    </w:rPr>
  </w:style>
  <w:style w:type="character" w:styleId="ListLabel96">
    <w:name w:val="ListLabel 96"/>
    <w:qFormat/>
    <w:rPr>
      <w:rFonts w:cs="Courier New"/>
    </w:rPr>
  </w:style>
  <w:style w:type="character" w:styleId="ListLabel97">
    <w:name w:val="ListLabel 97"/>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ListParagraph">
    <w:name w:val="List Paragraph"/>
    <w:basedOn w:val="Normal"/>
    <w:qFormat/>
    <w:pPr>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3</Pages>
  <Words>990</Words>
  <Characters>5579</Characters>
  <CharactersWithSpaces>6533</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2026-05-30T08:24:54Z</dcterms:created>
  <dc:creator/>
  <dc:description/>
  <dc:language>vi-VN</dc:language>
  <cp:lastModifiedBy/>
  <dcterms:modified xsi:type="dcterms:W3CDTF">2026-05-30T08:26:31Z</dcterms:modified>
  <cp:revision>1</cp:revision>
  <dc:subject/>
  <dc:title/>
</cp:coreProperties>
</file>