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312" w:before="0" w:after="58"/>
        <w:jc w:val="center"/>
        <w:rPr/>
      </w:pPr>
      <w:r>
        <w:rPr>
          <w:rFonts w:cs="Times New Roman" w:ascii="Times New Roman" w:hAnsi="Times New Roman"/>
          <w:b/>
          <w:bCs/>
        </w:rPr>
        <w:t>GUIDELINES ON SCIENTIFIC, TECHNOLOGICAL AND INNOVATION ACTIVITIES IN HIGHER EDUCATION INSTITUTIONS ACCORDING TO DECREE 125/2026/NĐ-CP</w:t>
      </w:r>
    </w:p>
    <w:p>
      <w:pPr>
        <w:pStyle w:val="Normal"/>
        <w:spacing w:lineRule="auto" w:line="312" w:before="0" w:after="58"/>
        <w:jc w:val="center"/>
        <w:rPr>
          <w:rFonts w:ascii="Times New Roman" w:hAnsi="Times New Roman" w:cs="Times New Roman"/>
          <w:b/>
          <w:b/>
          <w:bCs/>
        </w:rPr>
      </w:pPr>
      <w:r>
        <w:rPr/>
      </w:r>
    </w:p>
    <w:p>
      <w:pPr>
        <w:pStyle w:val="Normal"/>
        <w:spacing w:lineRule="auto" w:line="312" w:before="0" w:after="58"/>
        <w:jc w:val="left"/>
        <w:rPr/>
      </w:pPr>
      <w:r>
        <w:rPr>
          <w:rFonts w:cs="Times New Roman" w:ascii="Times New Roman" w:hAnsi="Times New Roman"/>
          <w:b/>
          <w:bCs/>
        </w:rPr>
        <w:t>Question:</w:t>
      </w:r>
      <w:r>
        <w:rPr>
          <w:rFonts w:cs="Times New Roman" w:ascii="Times New Roman" w:hAnsi="Times New Roman"/>
        </w:rPr>
        <w:t> </w:t>
      </w:r>
      <w:r>
        <w:rPr>
          <w:rFonts w:cs="Times New Roman" w:ascii="Times New Roman" w:hAnsi="Times New Roman"/>
          <w:i/>
          <w:iCs/>
        </w:rPr>
        <w:t>"I am a representative of a university and a partner enterprise in Vietnam. I have learned that the Government recently issued Decree 125/2026/NĐ-CP on scientific, technological and innovation activities in universities. May I ask what core regulations we need to grasp, what risks exist for non-compliance, and what action plans are required?"</w:t>
      </w:r>
    </w:p>
    <w:p>
      <w:pPr>
        <w:pStyle w:val="Normal"/>
        <w:spacing w:lineRule="auto" w:line="312" w:before="0" w:after="58"/>
        <w:jc w:val="left"/>
        <w:rPr>
          <w:rFonts w:ascii="Times New Roman" w:hAnsi="Times New Roman" w:cs="Times New Roman"/>
          <w:i/>
          <w:i/>
          <w:iCs/>
        </w:rPr>
      </w:pPr>
      <w:r>
        <w:rPr/>
      </w:r>
    </w:p>
    <w:p>
      <w:pPr>
        <w:pStyle w:val="Normal"/>
        <w:spacing w:lineRule="auto" w:line="312" w:before="0" w:after="58"/>
        <w:jc w:val="left"/>
        <w:rPr/>
      </w:pPr>
      <w:r>
        <w:rPr>
          <w:rFonts w:cs="Times New Roman" w:ascii="Times New Roman" w:hAnsi="Times New Roman"/>
          <w:b/>
          <w:bCs/>
        </w:rPr>
        <w:t>Answer:</w:t>
      </w:r>
      <w:r>
        <w:rPr>
          <w:rFonts w:cs="Times New Roman" w:ascii="Times New Roman" w:hAnsi="Times New Roman"/>
        </w:rPr>
        <w:t> Below is the detailed advisory regarding the new regulations on scientific, technological, and innovation activities in higher education institutions according to Decree 125/2026/NĐ-CP (effective from 06/04/2026):</w:t>
      </w:r>
    </w:p>
    <w:p>
      <w:pPr>
        <w:pStyle w:val="Normal"/>
        <w:spacing w:lineRule="auto" w:line="312" w:before="0" w:after="58"/>
        <w:jc w:val="left"/>
        <w:rPr>
          <w:rFonts w:ascii="Times New Roman" w:hAnsi="Times New Roman" w:cs="Times New Roman"/>
        </w:rPr>
      </w:pPr>
      <w:r>
        <w:rPr/>
      </w:r>
    </w:p>
    <w:p>
      <w:pPr>
        <w:pStyle w:val="Normal"/>
        <w:spacing w:lineRule="auto" w:line="312" w:before="0" w:after="58"/>
        <w:jc w:val="left"/>
        <w:rPr/>
      </w:pPr>
      <w:r>
        <w:rPr>
          <w:rFonts w:cs="Times New Roman" w:ascii="Times New Roman" w:hAnsi="Times New Roman"/>
          <w:b/>
          <w:bCs/>
        </w:rPr>
        <w:t>1. Main contents:</w:t>
      </w:r>
      <w:r>
        <w:rPr>
          <w:rFonts w:cs="Times New Roman" w:ascii="Times New Roman" w:hAnsi="Times New Roman"/>
        </w:rPr>
        <w:t> Decree 125/2026/NĐ-CP establishes a comprehensive legal framework, including organization, management, research groups, finance, funds, and investment for science and technology activities in universities. Specifically:</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Applicable subjects:</w:t>
      </w:r>
      <w:r>
        <w:rPr>
          <w:rFonts w:cs="Times New Roman" w:ascii="Times New Roman" w:hAnsi="Times New Roman"/>
        </w:rPr>
        <w:t> Higher education institutions, affiliated units, lecturers, researchers, learners, and related organizations, individuals, including partnering enterprises. </w:t>
      </w:r>
      <w:r>
        <w:rPr>
          <w:rFonts w:cs="Times New Roman" w:ascii="Times New Roman" w:hAnsi="Times New Roman"/>
          <w:i/>
          <w:iCs/>
        </w:rPr>
        <w:t>(Legal Basis: Clause 2 Article 1 of Decree 125/2026/NĐ-CP)</w:t>
      </w:r>
      <w:r>
        <w:rPr>
          <w:rFonts w:cs="Times New Roman" w:ascii="Times New Roman" w:hAnsi="Times New Roman"/>
        </w:rPr>
        <w:t>.</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Development of research groups</w:t>
      </w:r>
      <w:r>
        <w:rPr>
          <w:rFonts w:cs="Times New Roman" w:ascii="Times New Roman" w:hAnsi="Times New Roman"/>
        </w:rPr>
        <w:t>: Generalizing the research model, the State agencies have clearly demarcated 02 types of research groups with the requirements on the minimum number of members as follows:</w:t>
      </w:r>
    </w:p>
    <w:p>
      <w:pPr>
        <w:pStyle w:val="ListParagraph"/>
        <w:numPr>
          <w:ilvl w:val="0"/>
          <w:numId w:val="0"/>
        </w:numPr>
        <w:spacing w:lineRule="auto" w:line="312" w:before="0" w:after="58"/>
        <w:ind w:left="1389" w:hanging="0"/>
        <w:contextualSpacing/>
        <w:jc w:val="left"/>
        <w:rPr/>
      </w:pPr>
      <w:r>
        <w:rPr>
          <w:rFonts w:cs="Times New Roman" w:ascii="Times New Roman" w:hAnsi="Times New Roman"/>
        </w:rPr>
        <w:t xml:space="preserve">+ </w:t>
      </w:r>
      <w:r>
        <w:rPr>
          <w:rFonts w:cs="Times New Roman" w:ascii="Times New Roman" w:hAnsi="Times New Roman"/>
        </w:rPr>
        <w:t>Potential research groups: Requiring at least 03 members, in which the group leader is a full-time lecturer and at least 02 key members.</w:t>
      </w:r>
    </w:p>
    <w:p>
      <w:pPr>
        <w:pStyle w:val="ListParagraph"/>
        <w:numPr>
          <w:ilvl w:val="0"/>
          <w:numId w:val="0"/>
        </w:numPr>
        <w:spacing w:lineRule="auto" w:line="312" w:before="0" w:after="58"/>
        <w:ind w:left="1389" w:hanging="0"/>
        <w:contextualSpacing/>
        <w:jc w:val="left"/>
        <w:rPr/>
      </w:pPr>
      <w:r>
        <w:rPr>
          <w:rFonts w:cs="Times New Roman" w:ascii="Times New Roman" w:hAnsi="Times New Roman"/>
        </w:rPr>
        <w:t xml:space="preserve">+ </w:t>
      </w:r>
      <w:r>
        <w:rPr>
          <w:rFonts w:cs="Times New Roman" w:ascii="Times New Roman" w:hAnsi="Times New Roman"/>
        </w:rPr>
        <w:t>Strong research groups: Requiring at least 05 members, in which the group leader is a full-time lecturer and at least 04 key members.</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Flexible cooperation mechanism between the University and the Enterprise</w:t>
      </w:r>
      <w:r>
        <w:rPr>
          <w:rFonts w:cs="Times New Roman" w:ascii="Times New Roman" w:hAnsi="Times New Roman"/>
        </w:rPr>
        <w:t xml:space="preserve">: The law establishes an open cooperation framework, in which the enterprise plays the proactive role of ordering, co-sponsoring, constructing laboratories, participating in training and receiving lecturers/learners to intern and work. Specifically, the enterprise may flexibly use its Science and technology development fund to pay for a series of diverse cooperation activities. The parties may exploit and apply the research results and share the benefits transparently according to the agreement. </w:t>
      </w:r>
      <w:r>
        <w:rPr>
          <w:rFonts w:cs="Times New Roman" w:ascii="Times New Roman" w:hAnsi="Times New Roman"/>
          <w:i/>
          <w:iCs/>
        </w:rPr>
        <w:t>(Legal basis: clause 4 and clause 5 Article 12 of Decree 125/2026/NĐ-CP).</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S&amp;T Development Fund and Finance:</w:t>
      </w:r>
      <w:r>
        <w:rPr>
          <w:rFonts w:cs="Times New Roman" w:ascii="Times New Roman" w:hAnsi="Times New Roman"/>
        </w:rPr>
        <w:t> Institutions are allowed to deduct up to 20% of their annual taxable income and a minimum of 8% (for universities) or 5% (for other institutions) from tuition revenues to establish the Science and Technology Development Fund. </w:t>
      </w:r>
      <w:r>
        <w:rPr>
          <w:rFonts w:cs="Times New Roman" w:ascii="Times New Roman" w:hAnsi="Times New Roman"/>
          <w:i/>
          <w:iCs/>
        </w:rPr>
        <w:t>(Legal Basis: Point a Clause 3 and Clause 5 Article 20 of Decree 125/2026/NĐ-CP)</w:t>
      </w:r>
      <w:r>
        <w:rPr>
          <w:rFonts w:cs="Times New Roman" w:ascii="Times New Roman" w:hAnsi="Times New Roman"/>
        </w:rPr>
        <w:t>.</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Establishment of Science and Technology Enterprises</w:t>
      </w:r>
      <w:r>
        <w:rPr>
          <w:rFonts w:cs="Times New Roman" w:ascii="Times New Roman" w:hAnsi="Times New Roman"/>
        </w:rPr>
        <w:t xml:space="preserve">: Higher education institutions may establish, participate in the establishment of, and contribute capital to science and technology enterprises. The university may use intellectual property, brands, and physical facilities to contribute capital for business and product commercialization. </w:t>
      </w:r>
      <w:r>
        <w:rPr>
          <w:rFonts w:cs="Times New Roman" w:ascii="Times New Roman" w:hAnsi="Times New Roman"/>
          <w:i/>
          <w:iCs/>
        </w:rPr>
        <w:t>(Legal basis: clause 1 and clause 2 Article 5 of Decree 125/2026/NĐ-CP)</w:t>
      </w:r>
    </w:p>
    <w:p>
      <w:pPr>
        <w:pStyle w:val="Normal"/>
        <w:spacing w:lineRule="auto" w:line="312" w:before="0" w:after="58"/>
        <w:jc w:val="left"/>
        <w:rPr/>
      </w:pPr>
      <w:r>
        <w:rPr>
          <w:rFonts w:cs="Times New Roman" w:ascii="Times New Roman" w:hAnsi="Times New Roman"/>
          <w:b/>
          <w:bCs/>
        </w:rPr>
        <w:t>2. Biggest impacts:</w:t>
      </w:r>
      <w:r>
        <w:rPr>
          <w:rFonts w:cs="Times New Roman" w:ascii="Times New Roman" w:hAnsi="Times New Roman"/>
        </w:rPr>
        <w:t> Higher education institutions now have a solid, clearer legal framework to autonomously organize strong research groups, establish science and technology enterprises, and set up investment funds. Meanwhile, partnering enterprises have better grounds to design R&amp;D projects, transfer technology, and co-invest.</w:t>
      </w:r>
      <w:r>
        <w:rPr>
          <w:rFonts w:eastAsia="Times New Roman" w:cs="Times New Roman" w:ascii="Google Sans Text" w:hAnsi="Google Sans Text"/>
          <w:color w:val="000000"/>
        </w:rPr>
        <w:t xml:space="preserve"> </w:t>
      </w:r>
      <w:r>
        <w:rPr>
          <w:rFonts w:cs="Times New Roman" w:ascii="Times New Roman" w:hAnsi="Times New Roman"/>
          <w:i/>
          <w:iCs/>
        </w:rPr>
        <w:t>(Legal Basis: Article 5, Article 6, Article 7, Article 12, clause 1 and clause 3 Article 20 of Decree 125/2026/ND-CP).</w:t>
      </w:r>
    </w:p>
    <w:p>
      <w:pPr>
        <w:pStyle w:val="Normal"/>
        <w:spacing w:lineRule="auto" w:line="312" w:before="0" w:after="58"/>
        <w:jc w:val="left"/>
        <w:rPr/>
      </w:pPr>
      <w:r>
        <w:rPr>
          <w:rFonts w:cs="Times New Roman" w:ascii="Times New Roman" w:hAnsi="Times New Roman"/>
          <w:b/>
          <w:bCs/>
        </w:rPr>
        <w:t>3. Risks in case of failure to comply</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For the School:</w:t>
      </w:r>
      <w:r>
        <w:rPr>
          <w:rFonts w:cs="Times New Roman" w:ascii="Times New Roman" w:hAnsi="Times New Roman"/>
        </w:rPr>
        <w:t xml:space="preserve"> Failure to promptly update internal regulations will easily lead the school into competence obstacles when establishing funds, spending finances, approving teaching hour reductions, or deploying strong research groups. </w:t>
      </w:r>
      <w:r>
        <w:rPr>
          <w:rFonts w:cs="Times New Roman" w:ascii="Times New Roman" w:hAnsi="Times New Roman"/>
          <w:i/>
          <w:iCs/>
        </w:rPr>
        <w:t>(clause 3 Article 3, point c clause 1 Article 8, point a clause 2 Article 10, point a clause 3 Article 11 Decree 125/2026/NĐ-CP).</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For the Partnering Enterprise:</w:t>
      </w:r>
      <w:r>
        <w:rPr>
          <w:rFonts w:cs="Times New Roman" w:ascii="Times New Roman" w:hAnsi="Times New Roman"/>
        </w:rPr>
        <w:t> If cooperating in research with universities but lacking new agreement bases, projects will face delayed approvals, difficult disbursement, and the risk of not being counted as valid expenses of the S&amp;T development fund.</w:t>
      </w:r>
    </w:p>
    <w:p>
      <w:pPr>
        <w:pStyle w:val="Normal"/>
        <w:spacing w:lineRule="auto" w:line="312" w:before="0" w:after="58"/>
        <w:jc w:val="left"/>
        <w:rPr/>
      </w:pPr>
      <w:r>
        <w:rPr>
          <w:rFonts w:cs="Times New Roman" w:ascii="Times New Roman" w:hAnsi="Times New Roman"/>
          <w:b/>
          <w:bCs/>
        </w:rPr>
        <w:t>4. Proposed action plan</w:t>
      </w:r>
    </w:p>
    <w:p>
      <w:pPr>
        <w:pStyle w:val="ListParagraph"/>
        <w:numPr>
          <w:ilvl w:val="0"/>
          <w:numId w:val="0"/>
        </w:numPr>
        <w:spacing w:lineRule="auto" w:line="312" w:before="0" w:after="58"/>
        <w:ind w:left="720" w:hanging="0"/>
        <w:contextualSpacing/>
        <w:jc w:val="left"/>
        <w:rPr/>
      </w:pPr>
      <w:r>
        <w:rPr>
          <w:rFonts w:cs="Times New Roman" w:ascii="Times New Roman" w:hAnsi="Times New Roman"/>
        </w:rPr>
        <w:t>- Higher education institutions must immediately review their charters, financial regulations, S&amp;T task management procedures, and internal spending regulations. Consolidate models' organization and operations within 12 months from 06/04/2026. </w:t>
      </w:r>
      <w:r>
        <w:rPr>
          <w:rFonts w:cs="Times New Roman" w:ascii="Times New Roman" w:hAnsi="Times New Roman"/>
          <w:i/>
          <w:iCs/>
        </w:rPr>
        <w:t>(Legal Basis: Clause 2 Article 23 of Decree 125/2026/NĐ-CP)</w:t>
      </w:r>
      <w:r>
        <w:rPr>
          <w:rFonts w:cs="Times New Roman" w:ascii="Times New Roman" w:hAnsi="Times New Roman"/>
        </w:rPr>
        <w:t>.</w:t>
      </w:r>
    </w:p>
    <w:p>
      <w:pPr>
        <w:pStyle w:val="ListParagraph"/>
        <w:numPr>
          <w:ilvl w:val="0"/>
          <w:numId w:val="0"/>
        </w:numPr>
        <w:spacing w:lineRule="auto" w:line="312" w:before="0" w:after="58"/>
        <w:ind w:left="720" w:hanging="0"/>
        <w:contextualSpacing/>
        <w:jc w:val="left"/>
        <w:rPr/>
      </w:pPr>
      <w:r>
        <w:rPr>
          <w:rFonts w:cs="Times New Roman" w:ascii="Times New Roman" w:hAnsi="Times New Roman"/>
        </w:rPr>
        <w:t>- Both the school</w:t>
      </w:r>
      <w:bookmarkStart w:id="0" w:name="_GoBack"/>
      <w:bookmarkEnd w:id="0"/>
      <w:r>
        <w:rPr>
          <w:rFonts w:cs="Times New Roman" w:ascii="Times New Roman" w:hAnsi="Times New Roman"/>
        </w:rPr>
        <w:t xml:space="preserve"> and the enterprise need to immediately standardize the dossier set for research cooperation, investment, technology transfer, establishing transparent benefit-sharing mechanisms for intellectual property arising from joint cooperation. </w:t>
      </w:r>
    </w:p>
    <w:p>
      <w:pPr>
        <w:pStyle w:val="Normal"/>
        <w:spacing w:lineRule="auto" w:line="312" w:before="0" w:after="58"/>
        <w:jc w:val="left"/>
        <w:rPr/>
      </w:pPr>
      <w:r>
        <w:rPr>
          <w:rFonts w:cs="Times New Roman" w:ascii="Times New Roman" w:hAnsi="Times New Roman"/>
          <w:b/>
          <w:bCs/>
        </w:rPr>
        <w:t>5. Notes and recommendations for customers</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Transitional provisions:</w:t>
      </w:r>
      <w:r>
        <w:rPr>
          <w:rFonts w:cs="Times New Roman" w:ascii="Times New Roman" w:hAnsi="Times New Roman"/>
        </w:rPr>
        <w:t> Strong research groups, S&amp;T enterprises, or S&amp;T development funds established under the old Decree 109/2022/NĐ-CP are maintained but are mandatorily required to be reviewed and consolidated within 12 months. </w:t>
      </w:r>
      <w:r>
        <w:rPr>
          <w:rFonts w:cs="Times New Roman" w:ascii="Times New Roman" w:hAnsi="Times New Roman"/>
          <w:i/>
          <w:iCs/>
        </w:rPr>
        <w:t>(Legal Basis: Article 23 of Decree 125/2026/NĐ-CP)</w:t>
      </w:r>
      <w:r>
        <w:rPr>
          <w:rFonts w:cs="Times New Roman" w:ascii="Times New Roman" w:hAnsi="Times New Roman"/>
        </w:rPr>
        <w:t>.</w:t>
      </w:r>
    </w:p>
    <w:p>
      <w:pPr>
        <w:pStyle w:val="ListParagraph"/>
        <w:numPr>
          <w:ilvl w:val="0"/>
          <w:numId w:val="0"/>
        </w:numPr>
        <w:spacing w:lineRule="auto" w:line="312" w:before="0" w:after="58"/>
        <w:ind w:left="720" w:hanging="0"/>
        <w:contextualSpacing/>
        <w:jc w:val="left"/>
        <w:rPr/>
      </w:pPr>
      <w:r>
        <w:rPr>
          <w:rFonts w:cs="Times New Roman" w:ascii="Times New Roman" w:hAnsi="Times New Roman"/>
          <w:b/>
          <w:bCs/>
        </w:rPr>
        <w:t>- Appraisal of intellectual property assets:</w:t>
      </w:r>
      <w:r>
        <w:rPr>
          <w:rFonts w:cs="Times New Roman" w:ascii="Times New Roman" w:hAnsi="Times New Roman"/>
        </w:rPr>
        <w:t> When exploiting and transferring technology, the valuation of IP assets must mandatorily be executed through a valuation enterprise or the State Valuation Council to serve as legal bases for transfer and capital contribution. </w:t>
      </w:r>
      <w:r>
        <w:rPr>
          <w:rFonts w:cs="Times New Roman" w:ascii="Times New Roman" w:hAnsi="Times New Roman"/>
          <w:i/>
          <w:iCs/>
        </w:rPr>
        <w:t>(Legal Basis: Point b Clause 2 Article 10 of Decree 125/2026/NĐ-CP)</w:t>
      </w:r>
      <w:r>
        <w:rPr>
          <w:rFonts w:cs="Times New Roman" w:ascii="Times New Roman" w:hAnsi="Times New Roman"/>
        </w:rPr>
        <w:t>.</w:t>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Google Sans Text">
    <w:charset w:val="00"/>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2">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3">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4">
    <w:lvl w:ilvl="0">
      <w:start w:val="1"/>
      <w:numFmt w:val="bullet"/>
      <w:lvlText w:val=""/>
      <w:lvlJc w:val="left"/>
      <w:pPr>
        <w:ind w:left="1389" w:hanging="360"/>
      </w:pPr>
      <w:rPr>
        <w:rFonts w:ascii="Symbol" w:hAnsi="Symbol" w:cs="Symbol" w:hint="default"/>
      </w:rPr>
    </w:lvl>
    <w:lvl w:ilvl="1">
      <w:start w:val="1"/>
      <w:numFmt w:val="bullet"/>
      <w:lvlText w:val="o"/>
      <w:lvlJc w:val="left"/>
      <w:pPr>
        <w:ind w:left="2109" w:hanging="360"/>
      </w:pPr>
      <w:rPr>
        <w:rFonts w:ascii="Courier New" w:hAnsi="Courier New" w:cs="Courier New" w:hint="default"/>
        <w:rFonts w:cs="Courier New"/>
      </w:rPr>
    </w:lvl>
    <w:lvl w:ilvl="2">
      <w:start w:val="1"/>
      <w:numFmt w:val="bullet"/>
      <w:lvlText w:val=""/>
      <w:lvlJc w:val="left"/>
      <w:pPr>
        <w:ind w:left="2829" w:hanging="360"/>
      </w:pPr>
      <w:rPr>
        <w:rFonts w:ascii="Wingdings" w:hAnsi="Wingdings" w:cs="Wingdings" w:hint="default"/>
      </w:rPr>
    </w:lvl>
    <w:lvl w:ilvl="3">
      <w:start w:val="1"/>
      <w:numFmt w:val="bullet"/>
      <w:lvlText w:val=""/>
      <w:lvlJc w:val="left"/>
      <w:pPr>
        <w:ind w:left="3549" w:hanging="360"/>
      </w:pPr>
      <w:rPr>
        <w:rFonts w:ascii="Symbol" w:hAnsi="Symbol" w:cs="Symbol" w:hint="default"/>
      </w:rPr>
    </w:lvl>
    <w:lvl w:ilvl="4">
      <w:start w:val="1"/>
      <w:numFmt w:val="bullet"/>
      <w:lvlText w:val="o"/>
      <w:lvlJc w:val="left"/>
      <w:pPr>
        <w:ind w:left="4269" w:hanging="360"/>
      </w:pPr>
      <w:rPr>
        <w:rFonts w:ascii="Courier New" w:hAnsi="Courier New" w:cs="Courier New" w:hint="default"/>
        <w:rFonts w:cs="Courier New"/>
      </w:rPr>
    </w:lvl>
    <w:lvl w:ilvl="5">
      <w:start w:val="1"/>
      <w:numFmt w:val="bullet"/>
      <w:lvlText w:val=""/>
      <w:lvlJc w:val="left"/>
      <w:pPr>
        <w:ind w:left="4989" w:hanging="360"/>
      </w:pPr>
      <w:rPr>
        <w:rFonts w:ascii="Wingdings" w:hAnsi="Wingdings" w:cs="Wingdings" w:hint="default"/>
      </w:rPr>
    </w:lvl>
    <w:lvl w:ilvl="6">
      <w:start w:val="1"/>
      <w:numFmt w:val="bullet"/>
      <w:lvlText w:val=""/>
      <w:lvlJc w:val="left"/>
      <w:pPr>
        <w:ind w:left="5709" w:hanging="360"/>
      </w:pPr>
      <w:rPr>
        <w:rFonts w:ascii="Symbol" w:hAnsi="Symbol" w:cs="Symbol" w:hint="default"/>
      </w:rPr>
    </w:lvl>
    <w:lvl w:ilvl="7">
      <w:start w:val="1"/>
      <w:numFmt w:val="bullet"/>
      <w:lvlText w:val="o"/>
      <w:lvlJc w:val="left"/>
      <w:pPr>
        <w:ind w:left="6429" w:hanging="360"/>
      </w:pPr>
      <w:rPr>
        <w:rFonts w:ascii="Courier New" w:hAnsi="Courier New" w:cs="Courier New" w:hint="default"/>
        <w:rFonts w:cs="Courier New"/>
      </w:rPr>
    </w:lvl>
    <w:lvl w:ilvl="8">
      <w:start w:val="1"/>
      <w:numFmt w:val="bullet"/>
      <w:lvlText w:val=""/>
      <w:lvlJc w:val="left"/>
      <w:pPr>
        <w:ind w:left="7149" w:hanging="360"/>
      </w:pPr>
      <w:rPr>
        <w:rFonts w:ascii="Wingdings" w:hAnsi="Wingdings" w:cs="Wingdings" w:hint="default"/>
      </w:rPr>
    </w:lvl>
  </w:abstractNum>
  <w:abstractNum w:abstractNumId="5">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Pr>
    </w:lvl>
  </w:abstractNum>
  <w:abstractNum w:abstractNumId="7">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Arial Unicode MS" w:cs="Arial Unicode MS"/>
        <w:kern w:val="2"/>
        <w:sz w:val="24"/>
        <w:szCs w:val="24"/>
        <w:lang w:val="vi-VN" w:eastAsia="zh-CN" w:bidi="hi-IN"/>
      </w:rPr>
    </w:rPrDefault>
    <w:pPrDefault>
      <w:pPr>
        <w:widowControl/>
      </w:pPr>
    </w:pPrDefault>
  </w:docDefaults>
  <w:style w:type="paragraph" w:styleId="Normal">
    <w:name w:val="Normal"/>
    <w:qFormat/>
    <w:pPr>
      <w:widowControl/>
    </w:pPr>
    <w:rPr>
      <w:rFonts w:ascii="Liberation Serif" w:hAnsi="Liberation Serif" w:eastAsia="Arial Unicode MS" w:cs="Arial Unicode MS"/>
      <w:color w:val="auto"/>
      <w:kern w:val="2"/>
      <w:sz w:val="24"/>
      <w:szCs w:val="24"/>
      <w:lang w:val="vi-VN" w:eastAsia="zh-CN" w:bidi="hi-IN"/>
    </w:rPr>
  </w:style>
  <w:style w:type="character" w:styleId="ListLabel122">
    <w:name w:val="ListLabel 122"/>
    <w:qFormat/>
    <w:rPr>
      <w:rFonts w:cs="Courier New"/>
    </w:rPr>
  </w:style>
  <w:style w:type="character" w:styleId="ListLabel123">
    <w:name w:val="ListLabel 123"/>
    <w:qFormat/>
    <w:rPr>
      <w:rFonts w:cs="Courier New"/>
    </w:rPr>
  </w:style>
  <w:style w:type="character" w:styleId="ListLabel124">
    <w:name w:val="ListLabel 124"/>
    <w:qFormat/>
    <w:rPr>
      <w:rFonts w:cs="Courier New"/>
    </w:rPr>
  </w:style>
  <w:style w:type="character" w:styleId="ListLabel125">
    <w:name w:val="ListLabel 125"/>
    <w:qFormat/>
    <w:rPr>
      <w:rFonts w:cs="Courier New"/>
    </w:rPr>
  </w:style>
  <w:style w:type="character" w:styleId="ListLabel126">
    <w:name w:val="ListLabel 126"/>
    <w:qFormat/>
    <w:rPr>
      <w:rFonts w:cs="Courier New"/>
    </w:rPr>
  </w:style>
  <w:style w:type="character" w:styleId="ListLabel127">
    <w:name w:val="ListLabel 127"/>
    <w:qFormat/>
    <w:rPr>
      <w:rFonts w:cs="Courier New"/>
    </w:rPr>
  </w:style>
  <w:style w:type="character" w:styleId="ListLabel110">
    <w:name w:val="ListLabel 110"/>
    <w:qFormat/>
    <w:rPr>
      <w:rFonts w:cs="Courier New"/>
    </w:rPr>
  </w:style>
  <w:style w:type="character" w:styleId="ListLabel111">
    <w:name w:val="ListLabel 111"/>
    <w:qFormat/>
    <w:rPr>
      <w:rFonts w:cs="Courier New"/>
    </w:rPr>
  </w:style>
  <w:style w:type="character" w:styleId="ListLabel112">
    <w:name w:val="ListLabel 112"/>
    <w:qFormat/>
    <w:rPr>
      <w:rFonts w:cs="Courier New"/>
    </w:rPr>
  </w:style>
  <w:style w:type="character" w:styleId="ListLabel134">
    <w:name w:val="ListLabel 134"/>
    <w:qFormat/>
    <w:rPr>
      <w:rFonts w:cs="Courier New"/>
    </w:rPr>
  </w:style>
  <w:style w:type="character" w:styleId="ListLabel135">
    <w:name w:val="ListLabel 135"/>
    <w:qFormat/>
    <w:rPr>
      <w:rFonts w:cs="Courier New"/>
    </w:rPr>
  </w:style>
  <w:style w:type="character" w:styleId="ListLabel136">
    <w:name w:val="ListLabel 136"/>
    <w:qFormat/>
    <w:rPr>
      <w:rFonts w:cs="Courier New"/>
    </w:rPr>
  </w:style>
  <w:style w:type="character" w:styleId="ListLabel128">
    <w:name w:val="ListLabel 128"/>
    <w:qFormat/>
    <w:rPr>
      <w:rFonts w:cs="Courier New"/>
    </w:rPr>
  </w:style>
  <w:style w:type="character" w:styleId="ListLabel129">
    <w:name w:val="ListLabel 129"/>
    <w:qFormat/>
    <w:rPr>
      <w:rFonts w:cs="Courier New"/>
    </w:rPr>
  </w:style>
  <w:style w:type="character" w:styleId="ListLabel130">
    <w:name w:val="ListLabel 130"/>
    <w:qFormat/>
    <w:rPr>
      <w:rFonts w:cs="Courier New"/>
    </w:rPr>
  </w:style>
  <w:style w:type="character" w:styleId="ListLabel131">
    <w:name w:val="ListLabel 131"/>
    <w:qFormat/>
    <w:rPr>
      <w:rFonts w:cs="Courier New"/>
    </w:rPr>
  </w:style>
  <w:style w:type="character" w:styleId="ListLabel132">
    <w:name w:val="ListLabel 132"/>
    <w:qFormat/>
    <w:rPr>
      <w:rFonts w:cs="Courier New"/>
    </w:rPr>
  </w:style>
  <w:style w:type="character" w:styleId="ListLabel133">
    <w:name w:val="ListLabel 133"/>
    <w:qFormat/>
    <w:rPr>
      <w:rFonts w:cs="Courier New"/>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ListParagraph">
    <w:name w:val="List Paragraph"/>
    <w:basedOn w:val="Normal"/>
    <w:qFormat/>
    <w:pPr>
      <w:spacing w:before="0" w:after="160"/>
      <w:ind w:lef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LibreOffice/6.0.4.2$Windows_x86 LibreOffice_project/9b0d9b32d5dcda91d2f1a96dc04c645c450872bf</Application>
  <Pages>2</Pages>
  <Words>776</Words>
  <Characters>4688</Characters>
  <CharactersWithSpaces>5431</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2026-05-30T09:18:48Z</dcterms:created>
  <dc:creator/>
  <dc:description/>
  <dc:language>vi-VN</dc:language>
  <cp:lastModifiedBy/>
  <dcterms:modified xsi:type="dcterms:W3CDTF">2026-05-30T09:20:35Z</dcterms:modified>
  <cp:revision>1</cp:revision>
  <dc:subject/>
  <dc:title/>
</cp:coreProperties>
</file>