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120"/>
        <w:jc w:val="both"/>
        <w:rPr/>
      </w:pPr>
      <w:r>
        <w:rPr>
          <w:rFonts w:eastAsia="Times New Roman" w:cs="Times New Roman" w:ascii="Times New Roman" w:hAnsi="Times New Roman"/>
          <w:b/>
          <w:bCs/>
          <w:i/>
          <w:iCs/>
          <w:sz w:val="24"/>
          <w:szCs w:val="24"/>
          <w:lang w:val="en-SG"/>
        </w:rPr>
        <w:t>Legal Advice on Risks Associated with Contracts Signed by Unauthorized Persons</w:t>
      </w:r>
    </w:p>
    <w:p>
      <w:pPr>
        <w:pStyle w:val="Normal"/>
        <w:spacing w:before="0" w:after="120"/>
        <w:jc w:val="both"/>
        <w:rPr>
          <w:rFonts w:ascii="Times New Roman" w:hAnsi="Times New Roman" w:eastAsia="SimSun" w:cs="Times New Roman"/>
          <w:b/>
          <w:b/>
          <w:bCs/>
          <w:i/>
          <w:i/>
          <w:iCs/>
          <w:sz w:val="24"/>
          <w:szCs w:val="24"/>
          <w:lang w:val="en-US" w:eastAsia="zh-CN" w:bidi="ar"/>
        </w:rPr>
      </w:pPr>
      <w:r>
        <w:rPr/>
      </w:r>
    </w:p>
    <w:p>
      <w:pPr>
        <w:pStyle w:val="Normal"/>
        <w:spacing w:before="0" w:after="120"/>
        <w:jc w:val="both"/>
        <w:rPr/>
      </w:pPr>
      <w:r>
        <w:rPr>
          <w:rFonts w:eastAsia="SimSun" w:cs="Times New Roman" w:ascii="Times New Roman" w:hAnsi="Times New Roman"/>
          <w:b/>
          <w:bCs/>
          <w:i/>
          <w:iCs/>
          <w:sz w:val="24"/>
          <w:szCs w:val="24"/>
          <w:lang w:val="en-US" w:eastAsia="zh-CN" w:bidi="ar"/>
        </w:rPr>
        <w:t>Question:</w:t>
      </w:r>
    </w:p>
    <w:p>
      <w:pPr>
        <w:pStyle w:val="Normal"/>
        <w:spacing w:before="120" w:after="120"/>
        <w:jc w:val="both"/>
        <w:rPr/>
      </w:pPr>
      <w:r>
        <w:rPr>
          <w:rFonts w:eastAsia="SimSun" w:cs="Times New Roman" w:ascii="Times New Roman" w:hAnsi="Times New Roman"/>
          <w:b/>
          <w:bCs/>
          <w:i/>
          <w:iCs/>
          <w:sz w:val="24"/>
          <w:szCs w:val="24"/>
          <w:lang w:eastAsia="zh-CN" w:bidi="ar"/>
        </w:rPr>
        <w:t>Hello Lawyer, during our internal compliance review, our company discovered that a contract had been signed by a Deputy Director. However, under the company’s Charter and internal delegation documents, this person did not have the authority to execute such transaction. In this case, would the contract be deemed invalid?</w:t>
      </w:r>
    </w:p>
    <w:p>
      <w:pPr>
        <w:pStyle w:val="Normal"/>
        <w:spacing w:before="120" w:after="120"/>
        <w:jc w:val="both"/>
        <w:rPr/>
      </w:pPr>
      <w:r>
        <w:rPr>
          <w:rFonts w:eastAsia="SimSun" w:cs="Times New Roman" w:ascii="Times New Roman" w:hAnsi="Times New Roman"/>
          <w:b/>
          <w:bCs/>
          <w:i/>
          <w:iCs/>
          <w:sz w:val="24"/>
          <w:szCs w:val="24"/>
          <w:lang w:val="en-US" w:eastAsia="zh-CN" w:bidi="ar"/>
        </w:rPr>
        <w:t>Answer:</w:t>
      </w:r>
    </w:p>
    <w:p>
      <w:pPr>
        <w:pStyle w:val="Normal"/>
        <w:spacing w:lineRule="auto" w:line="240" w:beforeAutospacing="1" w:afterAutospacing="1"/>
        <w:jc w:val="both"/>
        <w:rPr/>
      </w:pPr>
      <w:r>
        <w:rPr>
          <w:rFonts w:eastAsia="Times New Roman" w:cs="Times New Roman" w:ascii="Times New Roman" w:hAnsi="Times New Roman"/>
          <w:i/>
          <w:sz w:val="24"/>
          <w:szCs w:val="24"/>
          <w:lang w:val="en-SG" w:eastAsia="ja-JP"/>
        </w:rPr>
        <w:t>Contracts signed by unauthorized persons are a relatively common issue in corporate governance, particularly in companies where internal delegation mechanisms are unclear or where actual execution practices do not strictly align with authorization documents.</w:t>
      </w:r>
    </w:p>
    <w:p>
      <w:pPr>
        <w:pStyle w:val="Normal"/>
        <w:spacing w:lineRule="auto" w:line="240" w:beforeAutospacing="1" w:afterAutospacing="1"/>
        <w:jc w:val="left"/>
        <w:rPr/>
      </w:pPr>
      <w:r>
        <w:rPr>
          <w:rFonts w:eastAsia="Times New Roman" w:cs="Times New Roman" w:ascii="Times New Roman" w:hAnsi="Times New Roman"/>
          <w:b/>
          <w:bCs/>
          <w:i/>
          <w:sz w:val="24"/>
          <w:szCs w:val="24"/>
          <w:lang w:val="en-SG" w:eastAsia="ja-JP"/>
        </w:rPr>
        <w:t>1. Basis for Establishing Representative Authority in a Company</w:t>
      </w:r>
    </w:p>
    <w:p>
      <w:pPr>
        <w:pStyle w:val="Normal"/>
        <w:spacing w:lineRule="auto" w:line="240" w:beforeAutospacing="1" w:afterAutospacing="1"/>
        <w:jc w:val="left"/>
        <w:rPr/>
      </w:pPr>
      <w:r>
        <w:rPr>
          <w:rFonts w:eastAsia="Times New Roman" w:cs="Times New Roman" w:ascii="Times New Roman" w:hAnsi="Times New Roman"/>
          <w:i/>
          <w:sz w:val="24"/>
          <w:szCs w:val="24"/>
          <w:lang w:val="en-SG" w:eastAsia="ja-JP"/>
        </w:rPr>
        <w:t>Pursuant to Article 135 of the 2015 Civil Code of Vietnam regarding the basis for establishing representative authority:</w:t>
      </w:r>
    </w:p>
    <w:p>
      <w:pPr>
        <w:pStyle w:val="Normal"/>
        <w:spacing w:lineRule="auto" w:line="240" w:beforeAutospacing="1" w:afterAutospacing="1"/>
        <w:jc w:val="left"/>
        <w:rPr/>
      </w:pPr>
      <w:r>
        <w:rPr>
          <w:rFonts w:eastAsia="Times New Roman" w:cs="Times New Roman" w:ascii="Times New Roman" w:hAnsi="Times New Roman"/>
          <w:i/>
          <w:sz w:val="24"/>
          <w:szCs w:val="24"/>
          <w:lang w:val="en-SG" w:eastAsia="ja-JP"/>
        </w:rPr>
        <w:t>“</w:t>
      </w:r>
      <w:r>
        <w:rPr>
          <w:rFonts w:eastAsia="Times New Roman" w:cs="Times New Roman" w:ascii="Times New Roman" w:hAnsi="Times New Roman"/>
          <w:i/>
          <w:sz w:val="24"/>
          <w:szCs w:val="24"/>
          <w:lang w:val="en-SG" w:eastAsia="ja-JP"/>
        </w:rPr>
        <w:t>Representative authority is established through authorization between the represented person and the representative; by decision of a competent state authority; under the charter of a legal entity; or pursuant to provisions of law.”</w:t>
      </w:r>
    </w:p>
    <w:p>
      <w:pPr>
        <w:pStyle w:val="Normal"/>
        <w:spacing w:lineRule="auto" w:line="240" w:beforeAutospacing="1" w:afterAutospacing="1"/>
        <w:jc w:val="left"/>
        <w:rPr/>
      </w:pPr>
      <w:r>
        <w:rPr>
          <w:rFonts w:eastAsia="Times New Roman" w:cs="Times New Roman" w:ascii="Times New Roman" w:hAnsi="Times New Roman"/>
          <w:i/>
          <w:sz w:val="24"/>
          <w:szCs w:val="24"/>
          <w:lang w:val="en-SG" w:eastAsia="ja-JP"/>
        </w:rPr>
        <w:t>Accordingly, within a company, authority to sign contracts may be established through:</w:t>
      </w:r>
    </w:p>
    <w:p>
      <w:pPr>
        <w:pStyle w:val="Normal"/>
        <w:spacing w:lineRule="auto" w:line="240" w:beforeAutospacing="1" w:afterAutospacing="1"/>
        <w:jc w:val="left"/>
        <w:rPr/>
      </w:pPr>
      <w:r>
        <w:rPr>
          <w:rFonts w:eastAsia="Times New Roman" w:cs="Times New Roman" w:ascii="Times New Roman" w:hAnsi="Times New Roman"/>
          <w:i/>
          <w:sz w:val="24"/>
          <w:szCs w:val="24"/>
          <w:lang w:val="en-SG" w:eastAsia="ja-JP"/>
        </w:rPr>
        <w:t xml:space="preserve">- The company’s Charter; </w:t>
        <w:br/>
        <w:t xml:space="preserve">- Internal delegation and authorization regulations; </w:t>
        <w:br/>
        <w:t xml:space="preserve">- A valid power of attorney or authorization decision; or </w:t>
        <w:br/>
        <w:t xml:space="preserve">- Legal provisions governing the legal representative of the company. </w:t>
      </w:r>
    </w:p>
    <w:p>
      <w:pPr>
        <w:pStyle w:val="Normal"/>
        <w:spacing w:lineRule="auto" w:line="240" w:beforeAutospacing="1" w:afterAutospacing="1"/>
        <w:jc w:val="left"/>
        <w:rPr/>
      </w:pPr>
      <w:r>
        <w:rPr>
          <w:rFonts w:eastAsia="Times New Roman" w:cs="Times New Roman" w:ascii="Times New Roman" w:hAnsi="Times New Roman"/>
          <w:i/>
          <w:sz w:val="24"/>
          <w:szCs w:val="24"/>
          <w:lang w:val="en-SG" w:eastAsia="ja-JP"/>
        </w:rPr>
        <w:t xml:space="preserve">Therefore, if the Deputy Director is not granted signing authority under the Charter, has not been duly authorized, or does not fall within the scope of internal delegation, such individual may, in principle, be considered a person </w:t>
      </w:r>
      <w:r>
        <w:rPr>
          <w:rFonts w:eastAsia="Times New Roman" w:cs="Times New Roman" w:ascii="Times New Roman" w:hAnsi="Times New Roman"/>
          <w:bCs/>
          <w:i/>
          <w:sz w:val="24"/>
          <w:szCs w:val="24"/>
          <w:lang w:val="en-SG" w:eastAsia="ja-JP"/>
        </w:rPr>
        <w:t>without representative authority</w:t>
      </w:r>
      <w:r>
        <w:rPr>
          <w:rFonts w:eastAsia="Times New Roman" w:cs="Times New Roman" w:ascii="Times New Roman" w:hAnsi="Times New Roman"/>
          <w:i/>
          <w:sz w:val="24"/>
          <w:szCs w:val="24"/>
          <w:lang w:val="en-SG" w:eastAsia="ja-JP"/>
        </w:rPr>
        <w:t xml:space="preserve"> when entering into the transaction.</w:t>
      </w:r>
    </w:p>
    <w:p>
      <w:pPr>
        <w:pStyle w:val="Normal"/>
        <w:spacing w:lineRule="auto" w:line="240" w:beforeAutospacing="1" w:afterAutospacing="1"/>
        <w:jc w:val="left"/>
        <w:rPr/>
      </w:pPr>
      <w:r>
        <w:rPr>
          <w:rFonts w:eastAsia="Times New Roman" w:cs="Times New Roman" w:ascii="Times New Roman" w:hAnsi="Times New Roman"/>
          <w:b/>
          <w:bCs/>
          <w:i/>
          <w:sz w:val="24"/>
          <w:szCs w:val="24"/>
          <w:lang w:val="en-SG" w:eastAsia="ja-JP"/>
        </w:rPr>
        <w:t>2. Is the Contract Automatically Invalid?</w:t>
      </w:r>
    </w:p>
    <w:p>
      <w:pPr>
        <w:pStyle w:val="Normal"/>
        <w:spacing w:lineRule="auto" w:line="240" w:beforeAutospacing="1" w:afterAutospacing="1"/>
        <w:jc w:val="left"/>
        <w:rPr/>
      </w:pPr>
      <w:r>
        <w:rPr>
          <w:rFonts w:eastAsia="Times New Roman" w:cs="Times New Roman" w:ascii="Times New Roman" w:hAnsi="Times New Roman"/>
          <w:i/>
          <w:sz w:val="24"/>
          <w:szCs w:val="24"/>
          <w:lang w:val="en-SG" w:eastAsia="ja-JP"/>
        </w:rPr>
        <w:t xml:space="preserve">In practice, a contract signed by an unauthorized person is </w:t>
      </w:r>
      <w:r>
        <w:rPr>
          <w:rFonts w:eastAsia="Times New Roman" w:cs="Times New Roman" w:ascii="Times New Roman" w:hAnsi="Times New Roman"/>
          <w:bCs/>
          <w:i/>
          <w:sz w:val="24"/>
          <w:szCs w:val="24"/>
          <w:lang w:val="en-SG" w:eastAsia="ja-JP"/>
        </w:rPr>
        <w:t>not automatically invalid</w:t>
      </w:r>
      <w:r>
        <w:rPr>
          <w:rFonts w:eastAsia="Times New Roman" w:cs="Times New Roman" w:ascii="Times New Roman" w:hAnsi="Times New Roman"/>
          <w:i/>
          <w:sz w:val="24"/>
          <w:szCs w:val="24"/>
          <w:lang w:val="en-SG" w:eastAsia="ja-JP"/>
        </w:rPr>
        <w:t>.</w:t>
      </w:r>
    </w:p>
    <w:p>
      <w:pPr>
        <w:pStyle w:val="Normal"/>
        <w:spacing w:lineRule="auto" w:line="240" w:beforeAutospacing="1" w:afterAutospacing="1"/>
        <w:jc w:val="left"/>
        <w:rPr/>
      </w:pPr>
      <w:r>
        <w:rPr>
          <w:rFonts w:eastAsia="Times New Roman" w:cs="Times New Roman" w:ascii="Times New Roman" w:hAnsi="Times New Roman"/>
          <w:i/>
          <w:sz w:val="24"/>
          <w:szCs w:val="24"/>
          <w:lang w:val="en-SG" w:eastAsia="ja-JP"/>
        </w:rPr>
        <w:t>Pursuant to Article 142 of the 2015 Civil Code regarding the legal consequences of civil transactions established or performed by a person without representative authority:</w:t>
      </w:r>
    </w:p>
    <w:p>
      <w:pPr>
        <w:pStyle w:val="Normal"/>
        <w:spacing w:lineRule="auto" w:line="240" w:beforeAutospacing="1" w:afterAutospacing="1"/>
        <w:jc w:val="left"/>
        <w:rPr/>
      </w:pPr>
      <w:r>
        <w:rPr>
          <w:rFonts w:eastAsia="Times New Roman" w:cs="Times New Roman" w:ascii="Times New Roman" w:hAnsi="Times New Roman"/>
          <w:i/>
          <w:sz w:val="24"/>
          <w:szCs w:val="24"/>
          <w:lang w:val="en-SG" w:eastAsia="ja-JP"/>
        </w:rPr>
        <w:t>“</w:t>
      </w:r>
      <w:r>
        <w:rPr>
          <w:rFonts w:eastAsia="Times New Roman" w:cs="Times New Roman" w:ascii="Times New Roman" w:hAnsi="Times New Roman"/>
          <w:i/>
          <w:sz w:val="24"/>
          <w:szCs w:val="24"/>
          <w:lang w:val="en-SG" w:eastAsia="ja-JP"/>
        </w:rPr>
        <w:t>A civil transaction established or performed by a person without representative authority shall not create rights and obligations for the represented person, except in one of the following circumstances:</w:t>
        <w:br/>
        <w:t>(a) The represented person subsequently recognizes the transaction;</w:t>
        <w:br/>
        <w:t>(b) The represented person knows of the transaction but fails to object within a reasonable period of time;</w:t>
        <w:br/>
        <w:t>(c) The represented person is at fault, causing the counterparty not to know or be unable to know that the person establishing the transaction lacked representative authority.”</w:t>
      </w:r>
    </w:p>
    <w:p>
      <w:pPr>
        <w:pStyle w:val="Normal"/>
        <w:spacing w:lineRule="auto" w:line="240" w:beforeAutospacing="1" w:afterAutospacing="1"/>
        <w:jc w:val="left"/>
        <w:rPr/>
      </w:pPr>
      <w:r>
        <w:rPr>
          <w:rFonts w:eastAsia="Times New Roman" w:cs="Times New Roman" w:ascii="Times New Roman" w:hAnsi="Times New Roman"/>
          <w:i/>
          <w:sz w:val="24"/>
          <w:szCs w:val="24"/>
          <w:lang w:val="en-SG" w:eastAsia="ja-JP"/>
        </w:rPr>
        <w:t>Based on the above provisions, the transaction may still become legally binding on the company in certain circumstances, including:</w:t>
      </w:r>
    </w:p>
    <w:p>
      <w:pPr>
        <w:pStyle w:val="Normal"/>
        <w:spacing w:lineRule="auto" w:line="240" w:beforeAutospacing="1" w:afterAutospacing="1"/>
        <w:jc w:val="left"/>
        <w:rPr/>
      </w:pPr>
      <w:r>
        <w:rPr>
          <w:rFonts w:eastAsia="Times New Roman" w:cs="Times New Roman" w:ascii="Times New Roman" w:hAnsi="Times New Roman"/>
          <w:i/>
          <w:sz w:val="24"/>
          <w:szCs w:val="24"/>
          <w:lang w:val="en-SG" w:eastAsia="ja-JP"/>
        </w:rPr>
        <w:t xml:space="preserve">- The company subsequently issues an approval or ratification of the transaction; </w:t>
        <w:br/>
        <w:t xml:space="preserve">- Management is aware of the execution but does not object within a reasonable period; or </w:t>
        <w:br/>
        <w:t xml:space="preserve">- The company’s conduct reasonably leads the counterparty to believe that the signatory had authority (for example, through the use of corporate title, company seal, company email address, or prior similar transactions handled by the same person). </w:t>
      </w:r>
    </w:p>
    <w:p>
      <w:pPr>
        <w:pStyle w:val="Normal"/>
        <w:spacing w:lineRule="auto" w:line="240" w:beforeAutospacing="1" w:afterAutospacing="1"/>
        <w:jc w:val="left"/>
        <w:rPr>
          <w:b/>
          <w:b/>
          <w:bCs/>
        </w:rPr>
      </w:pPr>
      <w:r>
        <w:rPr>
          <w:rFonts w:eastAsia="Times New Roman" w:cs="Times New Roman" w:ascii="Times New Roman" w:hAnsi="Times New Roman"/>
          <w:b/>
          <w:bCs/>
          <w:i/>
          <w:sz w:val="24"/>
          <w:szCs w:val="24"/>
          <w:lang w:val="en-SG" w:eastAsia="ja-JP"/>
        </w:rPr>
        <w:t>If your company is facing a similar situation and requires detailed legal assessment, please contact SB Law for prompt and practical legal support.</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476</Words>
  <Characters>2775</Characters>
  <CharactersWithSpaces>3240</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2026-05-30T09:47:27Z</dcterms:created>
  <dc:creator/>
  <dc:description/>
  <dc:language>vi-VN</dc:language>
  <cp:lastModifiedBy/>
  <dcterms:modified xsi:type="dcterms:W3CDTF">2026-05-30T09:48:24Z</dcterms:modified>
  <cp:revision>1</cp:revision>
  <dc:subject/>
  <dc:title/>
</cp:coreProperties>
</file>