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left"/>
        <w:rPr/>
      </w:pPr>
      <w:r>
        <w:rPr>
          <w:rFonts w:eastAsia="Times New Roman" w:cs="Times New Roman" w:ascii="Times New Roman" w:hAnsi="Times New Roman"/>
          <w:b/>
          <w:bCs/>
          <w:i/>
          <w:sz w:val="24"/>
          <w:szCs w:val="24"/>
          <w:lang w:val="en-SG"/>
        </w:rPr>
        <w:t>Legal Advice on Approval Authority for Loan Transactions in a Joint-Stock Company: Board of Directors or General Meeting of Shareholders?</w:t>
      </w:r>
    </w:p>
    <w:p>
      <w:pPr>
        <w:pStyle w:val="Normal"/>
        <w:jc w:val="left"/>
        <w:rPr>
          <w:rFonts w:ascii="Times New Roman" w:hAnsi="Times New Roman" w:eastAsia="Times New Roman" w:cs="Times New Roman"/>
          <w:b/>
          <w:b/>
          <w:i/>
          <w:i/>
          <w:sz w:val="24"/>
          <w:szCs w:val="24"/>
          <w:lang w:val="en-SG"/>
        </w:rPr>
      </w:pPr>
      <w:r>
        <w:rPr>
          <w:rFonts w:eastAsia="Times New Roman" w:cs="Times New Roman" w:ascii="Times New Roman" w:hAnsi="Times New Roman"/>
          <w:b/>
          <w:i/>
          <w:sz w:val="24"/>
          <w:szCs w:val="24"/>
          <w:lang w:val="en-SG"/>
        </w:rPr>
      </w:r>
    </w:p>
    <w:p>
      <w:pPr>
        <w:pStyle w:val="Normal"/>
        <w:jc w:val="left"/>
        <w:rPr>
          <w:rFonts w:ascii="Times New Roman" w:hAnsi="Times New Roman" w:eastAsia="Times New Roman" w:cs="Times New Roman"/>
          <w:b/>
          <w:b/>
          <w:i/>
          <w:i/>
          <w:sz w:val="24"/>
          <w:szCs w:val="24"/>
          <w:lang w:val="en-SG"/>
        </w:rPr>
      </w:pPr>
      <w:r>
        <w:rPr>
          <w:rFonts w:eastAsia="Times New Roman" w:cs="Times New Roman" w:ascii="Times New Roman" w:hAnsi="Times New Roman"/>
          <w:b/>
          <w:i/>
          <w:sz w:val="24"/>
          <w:szCs w:val="24"/>
          <w:lang w:val="en-SG"/>
        </w:rPr>
      </w:r>
    </w:p>
    <w:p>
      <w:pPr>
        <w:pStyle w:val="Normal"/>
        <w:jc w:val="left"/>
        <w:rPr/>
      </w:pPr>
      <w:r>
        <w:rPr>
          <w:rFonts w:eastAsia="Times New Roman" w:cs="Times New Roman" w:ascii="Times New Roman" w:hAnsi="Times New Roman"/>
          <w:b/>
          <w:i/>
          <w:sz w:val="24"/>
          <w:szCs w:val="24"/>
        </w:rPr>
        <w:t>Question:</w:t>
      </w:r>
    </w:p>
    <w:p>
      <w:pPr>
        <w:pStyle w:val="Normal"/>
        <w:jc w:val="left"/>
        <w:rPr>
          <w:rFonts w:ascii="Times New Roman" w:hAnsi="Times New Roman" w:eastAsia="Times New Roman" w:cs="Times New Roman"/>
          <w:b/>
          <w:b/>
          <w:i/>
          <w:i/>
          <w:sz w:val="24"/>
          <w:szCs w:val="24"/>
          <w:lang w:val="en-US"/>
        </w:rPr>
      </w:pPr>
      <w:r>
        <w:rPr>
          <w:rFonts w:eastAsia="Times New Roman" w:cs="Times New Roman" w:ascii="Times New Roman" w:hAnsi="Times New Roman"/>
          <w:b/>
          <w:i/>
          <w:sz w:val="24"/>
          <w:szCs w:val="24"/>
          <w:lang w:val="en-US"/>
        </w:rPr>
      </w:r>
    </w:p>
    <w:p>
      <w:pPr>
        <w:pStyle w:val="Normal"/>
        <w:spacing w:lineRule="auto" w:line="240" w:beforeAutospacing="1" w:afterAutospacing="1"/>
        <w:jc w:val="left"/>
        <w:rPr/>
      </w:pPr>
      <w:r>
        <w:rPr>
          <w:rFonts w:eastAsia="Times New Roman" w:cs="Times New Roman" w:ascii="Times New Roman" w:hAnsi="Times New Roman"/>
          <w:b/>
          <w:sz w:val="24"/>
          <w:szCs w:val="24"/>
          <w:lang w:val="en-SG" w:eastAsia="ja-JP"/>
        </w:rPr>
        <w:t xml:space="preserve">Our company is a joint-stock company seeking financing to support its business operations. Could you advise whether the approval of a loan transaction falls under the authority of the </w:t>
      </w:r>
      <w:r>
        <w:rPr>
          <w:rFonts w:eastAsia="Times New Roman" w:cs="Times New Roman" w:ascii="Times New Roman" w:hAnsi="Times New Roman"/>
          <w:b/>
          <w:bCs/>
          <w:sz w:val="24"/>
          <w:szCs w:val="24"/>
          <w:lang w:val="en-SG" w:eastAsia="ja-JP"/>
        </w:rPr>
        <w:t>Board of Directors (BOD)</w:t>
      </w:r>
      <w:r>
        <w:rPr>
          <w:rFonts w:eastAsia="Times New Roman" w:cs="Times New Roman" w:ascii="Times New Roman" w:hAnsi="Times New Roman"/>
          <w:b/>
          <w:sz w:val="24"/>
          <w:szCs w:val="24"/>
          <w:lang w:val="en-SG" w:eastAsia="ja-JP"/>
        </w:rPr>
        <w:t xml:space="preserve"> or whether it must be submitted to the </w:t>
      </w:r>
      <w:r>
        <w:rPr>
          <w:rFonts w:eastAsia="Times New Roman" w:cs="Times New Roman" w:ascii="Times New Roman" w:hAnsi="Times New Roman"/>
          <w:b/>
          <w:bCs/>
          <w:sz w:val="24"/>
          <w:szCs w:val="24"/>
          <w:lang w:val="en-SG" w:eastAsia="ja-JP"/>
        </w:rPr>
        <w:t>General Meeting of Shareholders (GMS)</w:t>
      </w:r>
      <w:r>
        <w:rPr>
          <w:rFonts w:eastAsia="Times New Roman" w:cs="Times New Roman" w:ascii="Times New Roman" w:hAnsi="Times New Roman"/>
          <w:b/>
          <w:sz w:val="24"/>
          <w:szCs w:val="24"/>
          <w:lang w:val="en-SG" w:eastAsia="ja-JP"/>
        </w:rPr>
        <w:t xml:space="preserve"> for approval?</w:t>
      </w:r>
    </w:p>
    <w:p>
      <w:pPr>
        <w:pStyle w:val="Normal"/>
        <w:jc w:val="left"/>
        <w:rPr/>
      </w:pPr>
      <w:r>
        <w:rPr>
          <w:rFonts w:eastAsia="Times New Roman" w:cs="Times New Roman" w:ascii="Times New Roman" w:hAnsi="Times New Roman"/>
          <w:b/>
          <w:i/>
          <w:sz w:val="24"/>
          <w:szCs w:val="24"/>
        </w:rPr>
        <w:t>Answer:</w:t>
      </w:r>
    </w:p>
    <w:p>
      <w:pPr>
        <w:pStyle w:val="Normal"/>
        <w:jc w:val="left"/>
        <w:rPr/>
      </w:pPr>
      <w:r>
        <w:rPr>
          <w:rFonts w:eastAsia="Times New Roman" w:cs="Times New Roman" w:ascii="Times New Roman" w:hAnsi="Times New Roman"/>
          <w:i/>
          <w:sz w:val="24"/>
          <w:szCs w:val="24"/>
          <w:lang w:val="en-SG"/>
        </w:rPr>
        <w:t>Determining the approval authority for a loan transaction in a joint-stock company requires consideration of: (i) the transaction value; (ii) the nature of the transaction; and (iii) the specific provisions of the company’s Charter.</w:t>
      </w:r>
    </w:p>
    <w:p>
      <w:pPr>
        <w:pStyle w:val="Normal"/>
        <w:jc w:val="left"/>
        <w:rPr>
          <w:rFonts w:ascii="Times New Roman" w:hAnsi="Times New Roman" w:eastAsia="Times New Roman" w:cs="Times New Roman"/>
          <w:i/>
          <w:i/>
          <w:sz w:val="24"/>
          <w:szCs w:val="24"/>
          <w:lang w:val="en-SG"/>
        </w:rPr>
      </w:pPr>
      <w:r>
        <w:rPr/>
      </w:r>
    </w:p>
    <w:p>
      <w:pPr>
        <w:pStyle w:val="Normal"/>
        <w:jc w:val="left"/>
        <w:rPr/>
      </w:pPr>
      <w:r>
        <w:rPr>
          <w:rFonts w:eastAsia="Times New Roman" w:cs="Times New Roman" w:ascii="Times New Roman" w:hAnsi="Times New Roman"/>
          <w:b/>
          <w:bCs/>
          <w:i/>
          <w:sz w:val="24"/>
          <w:szCs w:val="24"/>
          <w:lang w:val="en-SG"/>
        </w:rPr>
        <w:t>1. As a General Principle, the Board of Directors Has Authority to Approve Loan Transactions</w:t>
      </w:r>
    </w:p>
    <w:p>
      <w:pPr>
        <w:pStyle w:val="Normal"/>
        <w:jc w:val="left"/>
        <w:rPr/>
      </w:pPr>
      <w:r>
        <w:rPr>
          <w:rFonts w:eastAsia="Times New Roman" w:cs="Times New Roman" w:ascii="Times New Roman" w:hAnsi="Times New Roman"/>
          <w:i/>
          <w:sz w:val="24"/>
          <w:szCs w:val="24"/>
          <w:lang w:val="en-SG"/>
        </w:rPr>
        <w:t>Pursuant to Clause 1, Article 153 of the 2020 Law on Enterprises, the Board of Directors is the management body of the company and has the authority to act on behalf of the company in deciding and implementing the company’s rights and obligations, except for matters falling within the authority of the General Meeting of Shareholders.</w:t>
      </w:r>
    </w:p>
    <w:p>
      <w:pPr>
        <w:pStyle w:val="Normal"/>
        <w:jc w:val="left"/>
        <w:rPr/>
      </w:pPr>
      <w:r>
        <w:rPr>
          <w:rFonts w:eastAsia="Times New Roman" w:cs="Times New Roman" w:ascii="Times New Roman" w:hAnsi="Times New Roman"/>
          <w:i/>
          <w:sz w:val="24"/>
          <w:szCs w:val="24"/>
          <w:lang w:val="en-SG"/>
        </w:rPr>
        <w:t>In addition, Point h, Clause 2, Article 153 of the 2020 Law on Enterprises provides:</w:t>
      </w:r>
    </w:p>
    <w:p>
      <w:pPr>
        <w:pStyle w:val="Normal"/>
        <w:jc w:val="left"/>
        <w:rPr/>
      </w:pPr>
      <w:r>
        <w:rPr>
          <w:rFonts w:eastAsia="Times New Roman" w:cs="Times New Roman" w:ascii="Times New Roman" w:hAnsi="Times New Roman"/>
          <w:i/>
          <w:sz w:val="24"/>
          <w:szCs w:val="24"/>
          <w:lang w:val="en-SG"/>
        </w:rPr>
        <w:t>“</w:t>
      </w:r>
      <w:r>
        <w:rPr>
          <w:rFonts w:eastAsia="Times New Roman" w:cs="Times New Roman" w:ascii="Times New Roman" w:hAnsi="Times New Roman"/>
          <w:i/>
          <w:sz w:val="24"/>
          <w:szCs w:val="24"/>
          <w:lang w:val="en-SG"/>
        </w:rPr>
        <w:t>The Board of Directors shall approve contracts for purchase, sale, borrowing, lending, and other contracts or transactions having a value of 35% or more of the total asset value recorded in the company’s most recent financial statements, unless the company’s Charter stipulates a different threshold or such contracts and transactions fall under the authority of the General Meeting of Shareholders…”</w:t>
      </w:r>
    </w:p>
    <w:p>
      <w:pPr>
        <w:pStyle w:val="Normal"/>
        <w:jc w:val="left"/>
        <w:rPr/>
      </w:pPr>
      <w:r>
        <w:rPr>
          <w:rFonts w:eastAsia="Times New Roman" w:cs="Times New Roman" w:ascii="Times New Roman" w:hAnsi="Times New Roman"/>
          <w:i/>
          <w:sz w:val="24"/>
          <w:szCs w:val="24"/>
          <w:lang w:val="en-SG"/>
        </w:rPr>
        <w:t xml:space="preserve">Accordingly, </w:t>
      </w:r>
      <w:r>
        <w:rPr>
          <w:rFonts w:eastAsia="Times New Roman" w:cs="Times New Roman" w:ascii="Times New Roman" w:hAnsi="Times New Roman"/>
          <w:bCs/>
          <w:i/>
          <w:sz w:val="24"/>
          <w:szCs w:val="24"/>
          <w:lang w:val="en-SG"/>
        </w:rPr>
        <w:t>as a general rule, loan transactions fall under the authority of the Board of Directors</w:t>
      </w:r>
      <w:r>
        <w:rPr>
          <w:rFonts w:eastAsia="Times New Roman" w:cs="Times New Roman" w:ascii="Times New Roman" w:hAnsi="Times New Roman"/>
          <w:i/>
          <w:sz w:val="24"/>
          <w:szCs w:val="24"/>
          <w:lang w:val="en-SG"/>
        </w:rPr>
        <w:t>, including in cases involving large loan amounts, unless otherwise required by law or the company’s Charter.</w:t>
      </w:r>
    </w:p>
    <w:p>
      <w:pPr>
        <w:pStyle w:val="Normal"/>
        <w:jc w:val="left"/>
        <w:rPr>
          <w:rFonts w:ascii="Times New Roman" w:hAnsi="Times New Roman" w:eastAsia="Times New Roman" w:cs="Times New Roman"/>
          <w:i/>
          <w:i/>
          <w:sz w:val="24"/>
          <w:szCs w:val="24"/>
          <w:lang w:val="en-SG"/>
        </w:rPr>
      </w:pPr>
      <w:r>
        <w:rPr/>
      </w:r>
    </w:p>
    <w:p>
      <w:pPr>
        <w:pStyle w:val="Normal"/>
        <w:jc w:val="left"/>
        <w:rPr/>
      </w:pPr>
      <w:r>
        <w:rPr>
          <w:rFonts w:eastAsia="Times New Roman" w:cs="Times New Roman" w:ascii="Times New Roman" w:hAnsi="Times New Roman"/>
          <w:b/>
          <w:bCs/>
          <w:i/>
          <w:sz w:val="24"/>
          <w:szCs w:val="24"/>
          <w:lang w:val="en-SG"/>
        </w:rPr>
        <w:t>2. When Must the Matter Be Submitted to the General Meeting of Shareholders?</w:t>
      </w:r>
    </w:p>
    <w:p>
      <w:pPr>
        <w:pStyle w:val="Normal"/>
        <w:jc w:val="left"/>
        <w:rPr/>
      </w:pPr>
      <w:r>
        <w:rPr>
          <w:rFonts w:eastAsia="Times New Roman" w:cs="Times New Roman" w:ascii="Times New Roman" w:hAnsi="Times New Roman"/>
          <w:i/>
          <w:sz w:val="24"/>
          <w:szCs w:val="24"/>
          <w:lang w:val="en-SG"/>
        </w:rPr>
        <w:t>Pursuant to Point d, Clause 2, Article 138 of the 2020 Law on Enterprises, the General Meeting of Shareholders has the authority to:</w:t>
      </w:r>
    </w:p>
    <w:p>
      <w:pPr>
        <w:pStyle w:val="Normal"/>
        <w:jc w:val="left"/>
        <w:rPr/>
      </w:pPr>
      <w:r>
        <w:rPr>
          <w:rFonts w:eastAsia="Times New Roman" w:cs="Times New Roman" w:ascii="Times New Roman" w:hAnsi="Times New Roman"/>
          <w:i/>
          <w:sz w:val="24"/>
          <w:szCs w:val="24"/>
          <w:lang w:val="en-SG"/>
        </w:rPr>
        <w:t>“</w:t>
      </w:r>
      <w:r>
        <w:rPr>
          <w:rFonts w:eastAsia="Times New Roman" w:cs="Times New Roman" w:ascii="Times New Roman" w:hAnsi="Times New Roman"/>
          <w:i/>
          <w:sz w:val="24"/>
          <w:szCs w:val="24"/>
          <w:lang w:val="en-SG"/>
        </w:rPr>
        <w:t>Decide on investments or the sale of assets having a value of 35% or more of the total asset value recorded in the company’s most recent financial statements, unless the Charter provides for a different threshold or value.”</w:t>
      </w:r>
    </w:p>
    <w:p>
      <w:pPr>
        <w:pStyle w:val="Normal"/>
        <w:jc w:val="left"/>
        <w:rPr/>
      </w:pPr>
      <w:r>
        <w:rPr>
          <w:rFonts w:eastAsia="Times New Roman" w:cs="Times New Roman" w:ascii="Times New Roman" w:hAnsi="Times New Roman"/>
          <w:i/>
          <w:sz w:val="24"/>
          <w:szCs w:val="24"/>
          <w:lang w:val="en-SG"/>
        </w:rPr>
        <w:t xml:space="preserve">However, it should be noted that this provision mainly applies to </w:t>
      </w:r>
      <w:r>
        <w:rPr>
          <w:rFonts w:eastAsia="Times New Roman" w:cs="Times New Roman" w:ascii="Times New Roman" w:hAnsi="Times New Roman"/>
          <w:bCs/>
          <w:i/>
          <w:sz w:val="24"/>
          <w:szCs w:val="24"/>
          <w:lang w:val="en-SG"/>
        </w:rPr>
        <w:t>investment activities or asset disposals</w:t>
      </w:r>
      <w:r>
        <w:rPr>
          <w:rFonts w:eastAsia="Times New Roman" w:cs="Times New Roman" w:ascii="Times New Roman" w:hAnsi="Times New Roman"/>
          <w:i/>
          <w:sz w:val="24"/>
          <w:szCs w:val="24"/>
          <w:lang w:val="en-SG"/>
        </w:rPr>
        <w:t xml:space="preserve">, and does </w:t>
      </w:r>
      <w:r>
        <w:rPr>
          <w:rFonts w:eastAsia="Times New Roman" w:cs="Times New Roman" w:ascii="Times New Roman" w:hAnsi="Times New Roman"/>
          <w:bCs/>
          <w:i/>
          <w:sz w:val="24"/>
          <w:szCs w:val="24"/>
          <w:lang w:val="en-SG"/>
        </w:rPr>
        <w:t>not automatically apply to all loan transactions</w:t>
      </w:r>
      <w:r>
        <w:rPr>
          <w:rFonts w:eastAsia="Times New Roman" w:cs="Times New Roman" w:ascii="Times New Roman" w:hAnsi="Times New Roman"/>
          <w:i/>
          <w:sz w:val="24"/>
          <w:szCs w:val="24"/>
          <w:lang w:val="en-SG"/>
        </w:rPr>
        <w:t>.</w:t>
      </w:r>
    </w:p>
    <w:p>
      <w:pPr>
        <w:pStyle w:val="Normal"/>
        <w:jc w:val="left"/>
        <w:rPr/>
      </w:pPr>
      <w:r>
        <w:rPr>
          <w:rFonts w:eastAsia="Times New Roman" w:cs="Times New Roman" w:ascii="Times New Roman" w:hAnsi="Times New Roman"/>
          <w:i/>
          <w:sz w:val="24"/>
          <w:szCs w:val="24"/>
          <w:lang w:val="en-SG"/>
        </w:rPr>
        <w:t>In practice, some companies stipulate in their Charter that loans exceeding a certain threshold, or transactions involving related parties (e.g., parent companies, subsidiaries, or major shareholders), must be approved by the General Meeting of Shareholders. In such cases, the company’s Charter becomes a key legal basis for determining the proper approval authority.</w:t>
      </w:r>
    </w:p>
    <w:p>
      <w:pPr>
        <w:pStyle w:val="Normal"/>
        <w:jc w:val="left"/>
        <w:rPr>
          <w:rFonts w:ascii="Times New Roman" w:hAnsi="Times New Roman" w:eastAsia="Times New Roman" w:cs="Times New Roman"/>
          <w:i/>
          <w:i/>
          <w:sz w:val="24"/>
          <w:szCs w:val="24"/>
          <w:lang w:val="en-SG"/>
        </w:rPr>
      </w:pPr>
      <w:r>
        <w:rPr/>
      </w:r>
    </w:p>
    <w:p>
      <w:pPr>
        <w:pStyle w:val="Normal"/>
        <w:jc w:val="left"/>
        <w:rPr/>
      </w:pPr>
      <w:r>
        <w:rPr>
          <w:rFonts w:eastAsia="Times New Roman" w:cs="Times New Roman" w:ascii="Times New Roman" w:hAnsi="Times New Roman"/>
          <w:b/>
          <w:bCs/>
          <w:i/>
          <w:sz w:val="24"/>
          <w:szCs w:val="24"/>
          <w:lang w:val="en-SG"/>
        </w:rPr>
        <w:t>3. Important Note: Review the Company’s Charter Before Proceeding</w:t>
      </w:r>
    </w:p>
    <w:p>
      <w:pPr>
        <w:pStyle w:val="Normal"/>
        <w:jc w:val="left"/>
        <w:rPr/>
      </w:pPr>
      <w:r>
        <w:rPr>
          <w:rFonts w:eastAsia="Times New Roman" w:cs="Times New Roman" w:ascii="Times New Roman" w:hAnsi="Times New Roman"/>
          <w:i/>
          <w:sz w:val="24"/>
          <w:szCs w:val="24"/>
          <w:lang w:val="en-SG"/>
        </w:rPr>
        <w:t>Although the 2020 Law on Enterprises provides general principles for allocating authority between the Board of Directors and the General Meeting of Shareholders, the company’s Charter may contain different provisions regarding transaction thresholds, approval values, or internal approval mechanisms.</w:t>
      </w:r>
    </w:p>
    <w:p>
      <w:pPr>
        <w:pStyle w:val="Normal"/>
        <w:jc w:val="left"/>
        <w:rPr/>
      </w:pPr>
      <w:r>
        <w:rPr>
          <w:rFonts w:eastAsia="Times New Roman" w:cs="Times New Roman" w:ascii="Times New Roman" w:hAnsi="Times New Roman"/>
          <w:i/>
          <w:sz w:val="24"/>
          <w:szCs w:val="24"/>
          <w:lang w:val="en-SG"/>
        </w:rPr>
        <w:t>In particular, companies should carefully review their Charter in situations where:</w:t>
      </w:r>
    </w:p>
    <w:p>
      <w:pPr>
        <w:pStyle w:val="Normal"/>
        <w:jc w:val="left"/>
        <w:rPr/>
      </w:pPr>
      <w:r>
        <w:rPr>
          <w:rFonts w:eastAsia="Times New Roman" w:cs="Times New Roman" w:ascii="Times New Roman" w:hAnsi="Times New Roman"/>
          <w:i/>
          <w:sz w:val="24"/>
          <w:szCs w:val="24"/>
          <w:lang w:val="en-SG"/>
        </w:rPr>
        <w:t xml:space="preserve">- The company has a joint-venture shareholder structure or multiple controlling shareholder groups; </w:t>
      </w:r>
    </w:p>
    <w:p>
      <w:pPr>
        <w:pStyle w:val="Normal"/>
        <w:jc w:val="left"/>
        <w:rPr/>
      </w:pPr>
      <w:r>
        <w:rPr>
          <w:rFonts w:eastAsia="Times New Roman" w:cs="Times New Roman" w:ascii="Times New Roman" w:hAnsi="Times New Roman"/>
          <w:i/>
          <w:sz w:val="24"/>
          <w:szCs w:val="24"/>
          <w:lang w:val="en-SG"/>
        </w:rPr>
        <w:t xml:space="preserve">- The company maintains a bilingual Charter (Vietnamese–English), which may create differing interpretations; </w:t>
      </w:r>
    </w:p>
    <w:p>
      <w:pPr>
        <w:pStyle w:val="Normal"/>
        <w:jc w:val="left"/>
        <w:rPr/>
      </w:pPr>
      <w:r>
        <w:rPr>
          <w:rFonts w:eastAsia="Times New Roman" w:cs="Times New Roman" w:ascii="Times New Roman" w:hAnsi="Times New Roman"/>
          <w:i/>
          <w:sz w:val="24"/>
          <w:szCs w:val="24"/>
          <w:lang w:val="en-SG"/>
        </w:rPr>
        <w:t xml:space="preserve">- The loan transaction involves related parties or entities within the same corporate group; or </w:t>
      </w:r>
    </w:p>
    <w:p>
      <w:pPr>
        <w:pStyle w:val="Normal"/>
        <w:jc w:val="left"/>
        <w:rPr/>
      </w:pPr>
      <w:r>
        <w:rPr>
          <w:rFonts w:eastAsia="Times New Roman" w:cs="Times New Roman" w:ascii="Times New Roman" w:hAnsi="Times New Roman"/>
          <w:i/>
          <w:sz w:val="24"/>
          <w:szCs w:val="24"/>
          <w:lang w:val="en-SG"/>
        </w:rPr>
        <w:t>- The Charter contains specific provisions on transaction value thresholds or special voting requirements.</w:t>
      </w:r>
    </w:p>
    <w:p>
      <w:pPr>
        <w:pStyle w:val="Normal"/>
        <w:jc w:val="left"/>
        <w:rPr>
          <w:rFonts w:ascii="Times New Roman" w:hAnsi="Times New Roman" w:eastAsia="Times New Roman" w:cs="Times New Roman"/>
          <w:i/>
          <w:i/>
          <w:sz w:val="24"/>
          <w:szCs w:val="24"/>
          <w:lang w:val="en-SG"/>
        </w:rPr>
      </w:pPr>
      <w:r>
        <w:rPr/>
      </w:r>
    </w:p>
    <w:p>
      <w:pPr>
        <w:pStyle w:val="Normal"/>
        <w:jc w:val="left"/>
        <w:rPr/>
      </w:pPr>
      <w:r>
        <w:rPr>
          <w:rFonts w:eastAsia="Times New Roman" w:cs="Times New Roman" w:ascii="Times New Roman" w:hAnsi="Times New Roman"/>
          <w:b/>
          <w:bCs/>
          <w:i/>
          <w:sz w:val="24"/>
          <w:szCs w:val="24"/>
          <w:lang w:val="en-SG"/>
        </w:rPr>
        <w:t>4. Legal Risks of Incorrectly Determining Approval Authority</w:t>
      </w:r>
    </w:p>
    <w:p>
      <w:pPr>
        <w:pStyle w:val="Normal"/>
        <w:jc w:val="left"/>
        <w:rPr/>
      </w:pPr>
      <w:r>
        <w:rPr>
          <w:rFonts w:eastAsia="Times New Roman" w:cs="Times New Roman" w:ascii="Times New Roman" w:hAnsi="Times New Roman"/>
          <w:i/>
          <w:sz w:val="24"/>
          <w:szCs w:val="24"/>
          <w:lang w:val="en-SG"/>
        </w:rPr>
        <w:t>Approving a loan transaction through the wrong corporate body may lead to several legal consequences, including:</w:t>
      </w:r>
    </w:p>
    <w:p>
      <w:pPr>
        <w:pStyle w:val="Normal"/>
        <w:jc w:val="left"/>
        <w:rPr/>
      </w:pPr>
      <w:r>
        <w:rPr>
          <w:rFonts w:eastAsia="Times New Roman" w:cs="Times New Roman" w:ascii="Times New Roman" w:hAnsi="Times New Roman"/>
          <w:i/>
          <w:sz w:val="24"/>
          <w:szCs w:val="24"/>
          <w:lang w:val="en-SG"/>
        </w:rPr>
        <w:t xml:space="preserve">- Resolutions of the Board of Directors or General Meeting of Shareholders being challenged or requested to be invalidated; </w:t>
      </w:r>
    </w:p>
    <w:p>
      <w:pPr>
        <w:pStyle w:val="Normal"/>
        <w:jc w:val="left"/>
        <w:rPr/>
      </w:pPr>
      <w:r>
        <w:rPr>
          <w:rFonts w:eastAsia="Times New Roman" w:cs="Times New Roman" w:ascii="Times New Roman" w:hAnsi="Times New Roman"/>
          <w:i/>
          <w:sz w:val="24"/>
          <w:szCs w:val="24"/>
          <w:lang w:val="en-SG"/>
        </w:rPr>
        <w:t xml:space="preserve">- Disputes arising among shareholder groups; </w:t>
      </w:r>
    </w:p>
    <w:p>
      <w:pPr>
        <w:pStyle w:val="Normal"/>
        <w:jc w:val="left"/>
        <w:rPr/>
      </w:pPr>
      <w:r>
        <w:rPr>
          <w:rFonts w:eastAsia="Times New Roman" w:cs="Times New Roman" w:ascii="Times New Roman" w:hAnsi="Times New Roman"/>
          <w:i/>
          <w:sz w:val="24"/>
          <w:szCs w:val="24"/>
          <w:lang w:val="en-SG"/>
        </w:rPr>
        <w:t xml:space="preserve">- Company managers facing potential liability for governance failures if the transaction causes damage to the company; or </w:t>
      </w:r>
    </w:p>
    <w:p>
      <w:pPr>
        <w:pStyle w:val="Normal"/>
        <w:jc w:val="left"/>
        <w:rPr/>
      </w:pPr>
      <w:r>
        <w:rPr>
          <w:rFonts w:eastAsia="Times New Roman" w:cs="Times New Roman" w:ascii="Times New Roman" w:hAnsi="Times New Roman"/>
          <w:i/>
          <w:sz w:val="24"/>
          <w:szCs w:val="24"/>
          <w:lang w:val="en-SG"/>
        </w:rPr>
        <w:t xml:space="preserve">- Delays in fund disbursement or issues affecting the validity of transaction documents. </w:t>
      </w:r>
    </w:p>
    <w:p>
      <w:pPr>
        <w:pStyle w:val="Normal"/>
        <w:jc w:val="left"/>
        <w:rPr/>
      </w:pPr>
      <w:r>
        <w:rPr>
          <w:rFonts w:eastAsia="Times New Roman" w:cs="Times New Roman" w:ascii="Times New Roman" w:hAnsi="Times New Roman"/>
          <w:i/>
          <w:sz w:val="24"/>
          <w:szCs w:val="24"/>
          <w:lang w:val="en-SG"/>
        </w:rPr>
        <w:t xml:space="preserve">Therefore, before implementing a loan transaction, companies should review the </w:t>
      </w:r>
      <w:r>
        <w:rPr>
          <w:rFonts w:eastAsia="Times New Roman" w:cs="Times New Roman" w:ascii="Times New Roman" w:hAnsi="Times New Roman"/>
          <w:bCs/>
          <w:i/>
          <w:sz w:val="24"/>
          <w:szCs w:val="24"/>
          <w:lang w:val="en-SG"/>
        </w:rPr>
        <w:t>Law on Enterprises</w:t>
      </w:r>
      <w:r>
        <w:rPr>
          <w:rFonts w:eastAsia="Times New Roman" w:cs="Times New Roman" w:ascii="Times New Roman" w:hAnsi="Times New Roman"/>
          <w:i/>
          <w:sz w:val="24"/>
          <w:szCs w:val="24"/>
          <w:lang w:val="en-SG"/>
        </w:rPr>
        <w:t xml:space="preserve">, the </w:t>
      </w:r>
      <w:r>
        <w:rPr>
          <w:rFonts w:eastAsia="Times New Roman" w:cs="Times New Roman" w:ascii="Times New Roman" w:hAnsi="Times New Roman"/>
          <w:bCs/>
          <w:i/>
          <w:sz w:val="24"/>
          <w:szCs w:val="24"/>
          <w:lang w:val="en-SG"/>
        </w:rPr>
        <w:t>company’s Charter</w:t>
      </w:r>
      <w:r>
        <w:rPr>
          <w:rFonts w:eastAsia="Times New Roman" w:cs="Times New Roman" w:ascii="Times New Roman" w:hAnsi="Times New Roman"/>
          <w:i/>
          <w:sz w:val="24"/>
          <w:szCs w:val="24"/>
          <w:lang w:val="en-SG"/>
        </w:rPr>
        <w:t xml:space="preserve">, and </w:t>
      </w:r>
      <w:r>
        <w:rPr>
          <w:rFonts w:eastAsia="Times New Roman" w:cs="Times New Roman" w:ascii="Times New Roman" w:hAnsi="Times New Roman"/>
          <w:bCs/>
          <w:i/>
          <w:sz w:val="24"/>
          <w:szCs w:val="24"/>
          <w:lang w:val="en-SG"/>
        </w:rPr>
        <w:t>internal delegation mechanisms</w:t>
      </w:r>
      <w:r>
        <w:rPr>
          <w:rFonts w:eastAsia="Times New Roman" w:cs="Times New Roman" w:ascii="Times New Roman" w:hAnsi="Times New Roman"/>
          <w:i/>
          <w:sz w:val="24"/>
          <w:szCs w:val="24"/>
          <w:lang w:val="en-SG"/>
        </w:rPr>
        <w:t xml:space="preserve"> to determine the proper approval authority and minimize the risk of future disputes.</w:t>
      </w:r>
    </w:p>
    <w:p>
      <w:pPr>
        <w:pStyle w:val="Normal"/>
        <w:jc w:val="left"/>
        <w:rPr/>
      </w:pPr>
      <w:r>
        <w:rPr>
          <w:rFonts w:eastAsia="Times New Roman" w:cs="Times New Roman" w:ascii="Times New Roman" w:hAnsi="Times New Roman"/>
          <w:i/>
          <w:sz w:val="24"/>
          <w:szCs w:val="24"/>
          <w:lang w:val="en-SG"/>
        </w:rPr>
        <w:t>If your company is facing a similar situation or requires legal assistance, please contact SB Law for timely advice and support.</w:t>
      </w:r>
    </w:p>
    <w:p>
      <w:pPr>
        <w:pStyle w:val="Normal"/>
        <w:jc w:val="both"/>
        <w:rPr>
          <w:rFonts w:ascii="Times New Roman" w:hAnsi="Times New Roman" w:eastAsia="Times New Roman" w:cs="Times New Roman"/>
          <w:i/>
          <w:i/>
          <w:sz w:val="24"/>
          <w:szCs w:val="24"/>
          <w:lang w:val="en-SG"/>
        </w:rPr>
      </w:pPr>
      <w:r>
        <w:rPr>
          <w:rFonts w:eastAsia="Times New Roman" w:cs="Times New Roman" w:ascii="Times New Roman" w:hAnsi="Times New Roman"/>
          <w:i/>
          <w:sz w:val="24"/>
          <w:szCs w:val="24"/>
          <w:lang w:val="en-SG"/>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kern w:val="2"/>
        <w:sz w:val="24"/>
        <w:szCs w:val="24"/>
        <w:lang w:val="vi-VN" w:eastAsia="zh-CN" w:bidi="hi-IN"/>
      </w:rPr>
    </w:rPrDefault>
    <w:pPrDefault>
      <w:pPr>
        <w:widowControl/>
      </w:pPr>
    </w:pPrDefault>
  </w:docDefaults>
  <w:style w:type="paragraph" w:styleId="Normal">
    <w:name w:val="Normal"/>
    <w:qFormat/>
    <w:pPr>
      <w:widowControl/>
    </w:pPr>
    <w:rPr>
      <w:rFonts w:ascii="Liberation Serif" w:hAnsi="Liberation Serif" w:eastAsia="Arial Unicode MS" w:cs="Arial Unicode MS"/>
      <w:color w:val="auto"/>
      <w:kern w:val="2"/>
      <w:sz w:val="24"/>
      <w:szCs w:val="24"/>
      <w:lang w:val="vi-VN"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TotalTime>
  <Application>LibreOffice/6.0.4.2$Windows_x86 LibreOffice_project/9b0d9b32d5dcda91d2f1a96dc04c645c450872bf</Application>
  <Pages>2</Pages>
  <Words>682</Words>
  <Characters>3894</Characters>
  <CharactersWithSpaces>4552</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2026-05-30T10:22:33Z</dcterms:created>
  <dc:creator/>
  <dc:description/>
  <dc:language>vi-VN</dc:language>
  <cp:lastModifiedBy/>
  <dcterms:modified xsi:type="dcterms:W3CDTF">2026-05-30T10:23:55Z</dcterms:modified>
  <cp:revision>1</cp:revision>
  <dc:subject/>
  <dc:title/>
</cp:coreProperties>
</file>