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312" w:before="120" w:after="120"/>
        <w:jc w:val="center"/>
        <w:rPr/>
      </w:pPr>
      <w:r>
        <w:rPr>
          <w:rFonts w:cs="Times New Roman" w:ascii="Times New Roman" w:hAnsi="Times New Roman"/>
          <w:b/>
          <w:bCs/>
          <w:lang w:val="vi-VN"/>
        </w:rPr>
        <w:t>LEGAL IMPACT UPDATE FROM DECISION NO. 694/QD-BXD ON THE ADJUSTMENT OF THE DREDGING PROJECT PORTFOLIO</w:t>
      </w:r>
    </w:p>
    <w:p>
      <w:pPr>
        <w:pStyle w:val="Normal"/>
        <w:spacing w:lineRule="auto" w:line="312" w:before="120" w:after="120"/>
        <w:jc w:val="both"/>
        <w:rPr/>
      </w:pPr>
      <w:r>
        <w:rPr>
          <w:rFonts w:cs="Times New Roman" w:ascii="Times New Roman" w:hAnsi="Times New Roman"/>
          <w:b/>
          <w:bCs/>
          <w:u w:val="single"/>
          <w:lang w:val="vi-VN"/>
        </w:rPr>
        <w:t>Question</w:t>
      </w:r>
      <w:r>
        <w:rPr>
          <w:rFonts w:cs="Times New Roman" w:ascii="Times New Roman" w:hAnsi="Times New Roman"/>
          <w:b/>
          <w:bCs/>
          <w:lang w:val="vi-VN"/>
        </w:rPr>
        <w:t>:</w:t>
      </w:r>
      <w:r>
        <w:rPr>
          <w:rFonts w:cs="Times New Roman" w:ascii="Times New Roman" w:hAnsi="Times New Roman"/>
          <w:lang w:val="vi-VN"/>
        </w:rPr>
        <w:t xml:space="preserve"> </w:t>
      </w:r>
      <w:r>
        <w:rPr>
          <w:rFonts w:cs="Times New Roman" w:ascii="Times New Roman" w:hAnsi="Times New Roman"/>
          <w:i/>
          <w:iCs/>
          <w:lang w:val="vi-VN"/>
        </w:rPr>
        <w:t>My company currently has a dredging construction contract in the Tien River area, we are concerned that the project is affected by the recent portfolio adjustment decision of the Ministry of Construction, thus we highly expect detailed advice from an expert on the new points, the potential legal risks, and the most appropriate handling direction at present.</w:t>
      </w:r>
    </w:p>
    <w:p>
      <w:pPr>
        <w:pStyle w:val="Normal"/>
        <w:spacing w:lineRule="auto" w:line="312" w:before="120" w:after="120"/>
        <w:jc w:val="both"/>
        <w:rPr>
          <w:rFonts w:ascii="Times New Roman" w:hAnsi="Times New Roman" w:cs="Times New Roman"/>
          <w:lang w:val="vi-VN"/>
        </w:rPr>
      </w:pPr>
      <w:r>
        <w:rPr>
          <w:rFonts w:cs="Times New Roman" w:ascii="Times New Roman" w:hAnsi="Times New Roman"/>
          <w:lang w:val="vi-VN"/>
        </w:rPr>
      </w:r>
    </w:p>
    <w:p>
      <w:pPr>
        <w:pStyle w:val="Normal"/>
        <w:spacing w:lineRule="auto" w:line="312" w:before="120" w:after="120"/>
        <w:jc w:val="both"/>
        <w:rPr/>
      </w:pPr>
      <w:r>
        <w:rPr>
          <w:rFonts w:cs="Times New Roman" w:ascii="Times New Roman" w:hAnsi="Times New Roman"/>
          <w:b/>
          <w:bCs/>
          <w:u w:val="single"/>
          <w:lang w:val="vi-VN"/>
        </w:rPr>
        <w:t>Answer</w:t>
      </w:r>
      <w:r>
        <w:rPr>
          <w:rFonts w:cs="Times New Roman" w:ascii="Times New Roman" w:hAnsi="Times New Roman"/>
          <w:b/>
          <w:bCs/>
          <w:lang w:val="vi-VN"/>
        </w:rPr>
        <w:t>:</w:t>
      </w:r>
      <w:r>
        <w:rPr>
          <w:rFonts w:cs="Times New Roman" w:ascii="Times New Roman" w:hAnsi="Times New Roman"/>
          <w:lang w:val="vi-VN"/>
        </w:rPr>
        <w:t xml:space="preserve"> Below is the detailed advice regarding the new regulation on the adjustment of the dredging project portfolio pursuant to Decision 694/QD-BXD (effective from May 12, 2026):</w:t>
      </w:r>
    </w:p>
    <w:p>
      <w:pPr>
        <w:pStyle w:val="Normal"/>
        <w:spacing w:lineRule="auto" w:line="312" w:before="120" w:after="120"/>
        <w:jc w:val="both"/>
        <w:rPr>
          <w:rFonts w:ascii="Times New Roman" w:hAnsi="Times New Roman" w:cs="Times New Roman"/>
          <w:lang w:val="vi-VN"/>
        </w:rPr>
      </w:pPr>
      <w:r>
        <w:rPr>
          <w:rFonts w:cs="Times New Roman" w:ascii="Times New Roman" w:hAnsi="Times New Roman"/>
          <w:lang w:val="vi-VN"/>
        </w:rPr>
      </w:r>
    </w:p>
    <w:p>
      <w:pPr>
        <w:pStyle w:val="Normal"/>
        <w:spacing w:lineRule="auto" w:line="312" w:before="120" w:after="120"/>
        <w:jc w:val="both"/>
        <w:rPr/>
      </w:pPr>
      <w:r>
        <w:rPr>
          <w:rFonts w:cs="Times New Roman" w:ascii="Times New Roman" w:hAnsi="Times New Roman"/>
          <w:b/>
          <w:bCs/>
          <w:lang w:val="vi-VN"/>
        </w:rPr>
        <w:t>1. Main contents</w:t>
      </w:r>
    </w:p>
    <w:p>
      <w:pPr>
        <w:pStyle w:val="Normal"/>
        <w:spacing w:lineRule="auto" w:line="312" w:before="120" w:after="120"/>
        <w:jc w:val="both"/>
        <w:rPr/>
      </w:pPr>
      <w:r>
        <w:rPr>
          <w:rFonts w:cs="Times New Roman" w:ascii="Times New Roman" w:hAnsi="Times New Roman"/>
          <w:b/>
          <w:bCs/>
          <w:lang w:val="vi-VN"/>
        </w:rPr>
        <w:t>- Adjustment of the dredging project portfolio:</w:t>
      </w:r>
      <w:r>
        <w:rPr>
          <w:rFonts w:cs="Times New Roman" w:ascii="Times New Roman" w:hAnsi="Times New Roman"/>
          <w:lang w:val="vi-VN"/>
        </w:rPr>
        <w:t xml:space="preserve"> The Decision proceeds to readjust the portfolio of dredging projects in seaport waters and inland waterways combined with product recovery under the management scope of the Ministry of Construction. Specifically, removing 02 dredging projects on the Tien River channel in Dong Thap Province (including the section from km 231+700 to 232+600 and the Thuong Phuoc international border gate anchorage area with a diameter of 600m) from the investment portfolio.</w:t>
      </w:r>
    </w:p>
    <w:p>
      <w:pPr>
        <w:pStyle w:val="Normal"/>
        <w:spacing w:lineRule="auto" w:line="312" w:before="120" w:after="120"/>
        <w:jc w:val="both"/>
        <w:rPr/>
      </w:pPr>
      <w:r>
        <w:rPr>
          <w:rFonts w:cs="Times New Roman" w:ascii="Times New Roman" w:hAnsi="Times New Roman"/>
          <w:i/>
          <w:iCs/>
          <w:lang w:val="vi-VN"/>
        </w:rPr>
        <w:t>(Legal Basis: Appendix of Decision 1546/QD-BGTVT amended and supplemented by Article 1 of Decision 694/QD-BXD)</w:t>
      </w:r>
    </w:p>
    <w:p>
      <w:pPr>
        <w:pStyle w:val="Normal"/>
        <w:spacing w:lineRule="auto" w:line="312" w:before="120" w:after="120"/>
        <w:jc w:val="both"/>
        <w:rPr/>
      </w:pPr>
      <w:r>
        <w:rPr>
          <w:rFonts w:cs="Times New Roman" w:ascii="Times New Roman" w:hAnsi="Times New Roman"/>
          <w:b/>
          <w:bCs/>
          <w:i/>
          <w:iCs/>
          <w:lang w:val="vi-VN"/>
        </w:rPr>
        <w:t xml:space="preserve">- </w:t>
      </w:r>
      <w:r>
        <w:rPr>
          <w:rFonts w:cs="Times New Roman" w:ascii="Times New Roman" w:hAnsi="Times New Roman"/>
          <w:b/>
          <w:bCs/>
          <w:lang w:val="vi-VN"/>
        </w:rPr>
        <w:t>Legal basis for removing the projects from the portfolio:</w:t>
      </w:r>
      <w:r>
        <w:rPr>
          <w:rFonts w:cs="Times New Roman" w:ascii="Times New Roman" w:hAnsi="Times New Roman"/>
          <w:lang w:val="vi-VN"/>
        </w:rPr>
        <w:t xml:space="preserve"> The projects in Dong Thap Province are removed from the portfolio in compliance with the specialized regulations of the Government on the management of dredging activities.</w:t>
      </w:r>
    </w:p>
    <w:p>
      <w:pPr>
        <w:pStyle w:val="Normal"/>
        <w:spacing w:lineRule="auto" w:line="312" w:before="120" w:after="120"/>
        <w:jc w:val="both"/>
        <w:rPr/>
      </w:pPr>
      <w:r>
        <w:rPr>
          <w:rFonts w:cs="Times New Roman" w:ascii="Times New Roman" w:hAnsi="Times New Roman"/>
          <w:i/>
          <w:iCs/>
          <w:lang w:val="vi-VN"/>
        </w:rPr>
        <w:t>(Legal Basis: Clause 4 Article 26 of Decree 57/2024/ND-CP)</w:t>
      </w:r>
    </w:p>
    <w:p>
      <w:pPr>
        <w:pStyle w:val="Normal"/>
        <w:spacing w:lineRule="auto" w:line="312" w:before="120" w:after="120"/>
        <w:jc w:val="both"/>
        <w:rPr/>
      </w:pPr>
      <w:r>
        <w:rPr>
          <w:rFonts w:cs="Times New Roman" w:ascii="Times New Roman" w:hAnsi="Times New Roman"/>
          <w:b/>
          <w:bCs/>
          <w:i/>
          <w:iCs/>
          <w:lang w:val="vi-VN"/>
        </w:rPr>
        <w:t xml:space="preserve">- </w:t>
      </w:r>
      <w:r>
        <w:rPr>
          <w:rFonts w:cs="Times New Roman" w:ascii="Times New Roman" w:hAnsi="Times New Roman"/>
          <w:b/>
          <w:bCs/>
          <w:lang w:val="vi-VN"/>
        </w:rPr>
        <w:t>Responsibility to review and handle the constructed volume:</w:t>
      </w:r>
      <w:r>
        <w:rPr>
          <w:rFonts w:cs="Times New Roman" w:ascii="Times New Roman" w:hAnsi="Times New Roman"/>
          <w:lang w:val="vi-VN"/>
        </w:rPr>
        <w:t xml:space="preserve"> For the projects removed from the portfolio, the People's Committee of Dong Thap Province, in the capacity of the competent authority, shall directly direct the review of all works previously executed by the contractors or enterprises in order to provide an appropriate handling plan.</w:t>
      </w:r>
    </w:p>
    <w:p>
      <w:pPr>
        <w:pStyle w:val="Normal"/>
        <w:spacing w:lineRule="auto" w:line="312" w:before="120" w:after="120"/>
        <w:jc w:val="both"/>
        <w:rPr/>
      </w:pPr>
      <w:r>
        <w:rPr>
          <w:rFonts w:cs="Times New Roman" w:ascii="Times New Roman" w:hAnsi="Times New Roman"/>
          <w:i/>
          <w:iCs/>
          <w:lang w:val="vi-VN"/>
        </w:rPr>
        <w:t>(Legal Basis: Clause 1 Article 2 of Decision 694/QD-BXD)</w:t>
      </w:r>
    </w:p>
    <w:p>
      <w:pPr>
        <w:pStyle w:val="Normal"/>
        <w:spacing w:lineRule="auto" w:line="312" w:before="120" w:after="120"/>
        <w:jc w:val="both"/>
        <w:rPr>
          <w:rFonts w:ascii="Times New Roman" w:hAnsi="Times New Roman" w:cs="Times New Roman"/>
          <w:lang w:val="vi-VN"/>
        </w:rPr>
      </w:pPr>
      <w:r>
        <w:rPr>
          <w:rFonts w:cs="Times New Roman" w:ascii="Times New Roman" w:hAnsi="Times New Roman"/>
          <w:lang w:val="vi-VN"/>
        </w:rPr>
      </w:r>
    </w:p>
    <w:p>
      <w:pPr>
        <w:pStyle w:val="Normal"/>
        <w:spacing w:lineRule="auto" w:line="312" w:before="120" w:after="120"/>
        <w:jc w:val="both"/>
        <w:rPr/>
      </w:pPr>
      <w:r>
        <w:rPr>
          <w:rFonts w:cs="Times New Roman" w:ascii="Times New Roman" w:hAnsi="Times New Roman"/>
          <w:b/>
          <w:bCs/>
          <w:lang w:val="vi-VN"/>
        </w:rPr>
        <w:t>2. Greatest impacts</w:t>
      </w:r>
    </w:p>
    <w:p>
      <w:pPr>
        <w:pStyle w:val="Normal"/>
        <w:spacing w:lineRule="auto" w:line="312" w:before="120" w:after="120"/>
        <w:jc w:val="both"/>
        <w:rPr/>
      </w:pPr>
      <w:r>
        <w:rPr>
          <w:rFonts w:cs="Times New Roman" w:ascii="Times New Roman" w:hAnsi="Times New Roman"/>
          <w:lang w:val="vi-VN"/>
        </w:rPr>
        <w:t>This Decision has a direct and immediate impact on seaport exploitation, logistics, and waterway transport enterprises, and especially dredging material exploitation units having projects located on the Tien River route under the management authority of the Ministry of Construction. The removal of the two projects from the portfolio means that the construction contracts, as well as the product recovery plans (sand, mud) at these coordinates, no longer have a legal basis to continue implementation, forcing enterprises to immediately suspend construction, facing the adjustment of product recovery plans and the resolution of outstanding financial damages with the local authorities.</w:t>
      </w:r>
    </w:p>
    <w:p>
      <w:pPr>
        <w:pStyle w:val="Normal"/>
        <w:spacing w:lineRule="auto" w:line="312" w:before="120" w:after="120"/>
        <w:jc w:val="both"/>
        <w:rPr>
          <w:rFonts w:ascii="Times New Roman" w:hAnsi="Times New Roman" w:cs="Times New Roman"/>
          <w:lang w:val="vi-VN"/>
        </w:rPr>
      </w:pPr>
      <w:r>
        <w:rPr>
          <w:rFonts w:cs="Times New Roman" w:ascii="Times New Roman" w:hAnsi="Times New Roman"/>
          <w:lang w:val="vi-VN"/>
        </w:rPr>
      </w:r>
    </w:p>
    <w:p>
      <w:pPr>
        <w:pStyle w:val="Normal"/>
        <w:spacing w:lineRule="auto" w:line="312" w:before="120" w:after="120"/>
        <w:jc w:val="both"/>
        <w:rPr/>
      </w:pPr>
      <w:r>
        <w:rPr>
          <w:rFonts w:cs="Times New Roman" w:ascii="Times New Roman" w:hAnsi="Times New Roman"/>
          <w:b/>
          <w:bCs/>
          <w:lang w:val="vi-VN"/>
        </w:rPr>
        <w:t>3. Risks of non-compliance</w:t>
      </w:r>
    </w:p>
    <w:p>
      <w:pPr>
        <w:pStyle w:val="Normal"/>
        <w:spacing w:lineRule="auto" w:line="312" w:before="120" w:after="120"/>
        <w:jc w:val="both"/>
        <w:rPr/>
      </w:pPr>
      <w:r>
        <w:rPr>
          <w:rFonts w:cs="Times New Roman" w:ascii="Times New Roman" w:hAnsi="Times New Roman"/>
          <w:lang w:val="vi-VN"/>
        </w:rPr>
        <w:t>- The risk of being forced to immediately suspend construction activities and being handled for violations of the law on environment and natural resources if intentionally continuing to implement the projects incorrectly according to the portfolio or wrongly within the adjusted water area scope.</w:t>
      </w:r>
    </w:p>
    <w:p>
      <w:pPr>
        <w:pStyle w:val="Normal"/>
        <w:spacing w:lineRule="auto" w:line="312" w:before="120" w:after="120"/>
        <w:jc w:val="both"/>
        <w:rPr/>
      </w:pPr>
      <w:r>
        <w:rPr>
          <w:rFonts w:cs="Times New Roman" w:ascii="Times New Roman" w:hAnsi="Times New Roman"/>
          <w:lang w:val="vi-VN"/>
        </w:rPr>
        <w:t>- Delays in the process of applying for approval to handle consequences or prolongation of the safe construction season if failing to promptly update the changes regarding the competent authority.</w:t>
      </w:r>
    </w:p>
    <w:p>
      <w:pPr>
        <w:pStyle w:val="Normal"/>
        <w:spacing w:lineRule="auto" w:line="312" w:before="120" w:after="120"/>
        <w:jc w:val="both"/>
        <w:rPr/>
      </w:pPr>
      <w:r>
        <w:rPr>
          <w:rFonts w:cs="Times New Roman" w:ascii="Times New Roman" w:hAnsi="Times New Roman"/>
          <w:lang w:val="vi-VN"/>
        </w:rPr>
        <w:t>- Facing the risk of not being recognized, accepted, or financially settled by state agencies for the construction and exploitation costs arising after the effective time of the official document.</w:t>
      </w:r>
    </w:p>
    <w:p>
      <w:pPr>
        <w:pStyle w:val="Normal"/>
        <w:spacing w:lineRule="auto" w:line="312" w:before="120" w:after="120"/>
        <w:jc w:val="both"/>
        <w:rPr>
          <w:rFonts w:ascii="Times New Roman" w:hAnsi="Times New Roman" w:cs="Times New Roman"/>
          <w:lang w:val="vi-VN"/>
        </w:rPr>
      </w:pPr>
      <w:r>
        <w:rPr>
          <w:rFonts w:cs="Times New Roman" w:ascii="Times New Roman" w:hAnsi="Times New Roman"/>
          <w:lang w:val="vi-VN"/>
        </w:rPr>
      </w:r>
    </w:p>
    <w:p>
      <w:pPr>
        <w:pStyle w:val="Normal"/>
        <w:spacing w:lineRule="auto" w:line="312" w:before="120" w:after="120"/>
        <w:jc w:val="both"/>
        <w:rPr/>
      </w:pPr>
      <w:r>
        <w:rPr>
          <w:rFonts w:cs="Times New Roman" w:ascii="Times New Roman" w:hAnsi="Times New Roman"/>
          <w:b/>
          <w:bCs/>
          <w:lang w:val="vi-VN"/>
        </w:rPr>
        <w:t>4. Proposed action plans</w:t>
      </w:r>
    </w:p>
    <w:p>
      <w:pPr>
        <w:pStyle w:val="Normal"/>
        <w:spacing w:lineRule="auto" w:line="312" w:before="120" w:after="120"/>
        <w:jc w:val="both"/>
        <w:rPr/>
      </w:pPr>
      <w:r>
        <w:rPr>
          <w:rFonts w:cs="Times New Roman" w:ascii="Times New Roman" w:hAnsi="Times New Roman"/>
          <w:lang w:val="vi-VN"/>
        </w:rPr>
        <w:t xml:space="preserve">- </w:t>
      </w:r>
      <w:r>
        <w:rPr>
          <w:rFonts w:cs="Times New Roman" w:ascii="Times New Roman" w:hAnsi="Times New Roman"/>
          <w:b/>
          <w:bCs/>
          <w:lang w:val="vi-VN"/>
        </w:rPr>
        <w:t>Site Steering Committee:</w:t>
      </w:r>
      <w:r>
        <w:rPr>
          <w:rFonts w:cs="Times New Roman" w:ascii="Times New Roman" w:hAnsi="Times New Roman"/>
          <w:lang w:val="vi-VN"/>
        </w:rPr>
        <w:t xml:space="preserve"> Immediately suspend all dredging construction activities within the scope of the Tien River channel (from km 231+700 to 232+600) and the Thuong Phuoc border gate area to finalize the current status and protect machinery and equipment.</w:t>
      </w:r>
    </w:p>
    <w:p>
      <w:pPr>
        <w:pStyle w:val="Normal"/>
        <w:spacing w:lineRule="auto" w:line="312" w:before="120" w:after="120"/>
        <w:jc w:val="both"/>
        <w:rPr/>
      </w:pPr>
      <w:r>
        <w:rPr>
          <w:rFonts w:cs="Times New Roman" w:ascii="Times New Roman" w:hAnsi="Times New Roman"/>
          <w:lang w:val="vi-VN"/>
        </w:rPr>
        <w:t xml:space="preserve">- </w:t>
      </w:r>
      <w:r>
        <w:rPr>
          <w:rFonts w:cs="Times New Roman" w:ascii="Times New Roman" w:hAnsi="Times New Roman"/>
          <w:b/>
          <w:bCs/>
          <w:lang w:val="vi-VN"/>
        </w:rPr>
        <w:t>Legal and Project Department:</w:t>
      </w:r>
      <w:r>
        <w:rPr>
          <w:rFonts w:cs="Times New Roman" w:ascii="Times New Roman" w:hAnsi="Times New Roman"/>
          <w:lang w:val="vi-VN"/>
        </w:rPr>
        <w:t xml:space="preserve"> Cross-check the entire dredging construction contract, product recovery plan, and current maritime and waterway obligations against the newly issued appendix to prepare documents for liquidation and handling of the executed work volume.</w:t>
      </w:r>
    </w:p>
    <w:p>
      <w:pPr>
        <w:pStyle w:val="Normal"/>
        <w:spacing w:lineRule="auto" w:line="312" w:before="120" w:after="120"/>
        <w:jc w:val="both"/>
        <w:rPr>
          <w:rFonts w:ascii="Times New Roman" w:hAnsi="Times New Roman" w:cs="Times New Roman"/>
          <w:lang w:val="vi-VN"/>
        </w:rPr>
      </w:pPr>
      <w:r>
        <w:rPr>
          <w:rFonts w:cs="Times New Roman" w:ascii="Times New Roman" w:hAnsi="Times New Roman"/>
          <w:lang w:val="vi-VN"/>
        </w:rPr>
      </w:r>
    </w:p>
    <w:p>
      <w:pPr>
        <w:pStyle w:val="Normal"/>
        <w:spacing w:lineRule="auto" w:line="312" w:before="120" w:after="120"/>
        <w:jc w:val="both"/>
        <w:rPr/>
      </w:pPr>
      <w:r>
        <w:rPr>
          <w:rFonts w:cs="Times New Roman" w:ascii="Times New Roman" w:hAnsi="Times New Roman"/>
          <w:b/>
          <w:bCs/>
          <w:lang w:val="vi-VN"/>
        </w:rPr>
        <w:t>5. Notes and recommendations for the client</w:t>
      </w:r>
    </w:p>
    <w:p>
      <w:pPr>
        <w:pStyle w:val="Normal"/>
        <w:spacing w:lineRule="auto" w:line="312" w:before="120" w:after="120"/>
        <w:jc w:val="both"/>
        <w:rPr/>
      </w:pPr>
      <w:r>
        <w:rPr>
          <w:rFonts w:cs="Times New Roman" w:ascii="Times New Roman" w:hAnsi="Times New Roman"/>
          <w:lang w:val="vi-VN"/>
        </w:rPr>
        <w:t>-</w:t>
      </w:r>
      <w:r>
        <w:rPr>
          <w:rFonts w:cs="Times New Roman" w:ascii="Times New Roman" w:hAnsi="Times New Roman"/>
          <w:b/>
          <w:bCs/>
          <w:lang w:val="vi-VN"/>
        </w:rPr>
        <w:t xml:space="preserve"> </w:t>
      </w:r>
      <w:r>
        <w:rPr>
          <w:rFonts w:cs="Times New Roman" w:ascii="Times New Roman" w:hAnsi="Times New Roman"/>
          <w:lang w:val="vi-VN"/>
        </w:rPr>
        <w:t>The client needs to urgently gather all evidentiary documents and construction logs to work directly with the People's Committee of Dong Thap Province in order to satisfactorily resolve the costs for the legally executed portions of work prior to the date the projects were removed from the portfolio.</w:t>
      </w:r>
    </w:p>
    <w:p>
      <w:pPr>
        <w:pStyle w:val="Normal"/>
        <w:spacing w:lineRule="auto" w:line="312" w:before="120" w:after="120"/>
        <w:jc w:val="both"/>
        <w:rPr/>
      </w:pPr>
      <w:r>
        <w:rPr>
          <w:rFonts w:cs="Times New Roman" w:ascii="Times New Roman" w:hAnsi="Times New Roman"/>
          <w:i/>
          <w:iCs/>
          <w:lang w:val="vi-VN"/>
        </w:rPr>
        <w:t>(Legal Basis: Clause 1 Article 2 of Decision 694/QD-BXD)</w:t>
      </w:r>
    </w:p>
    <w:p>
      <w:pPr>
        <w:pStyle w:val="Normal"/>
        <w:spacing w:lineRule="auto" w:line="312" w:before="120" w:after="120"/>
        <w:jc w:val="both"/>
        <w:rPr/>
      </w:pPr>
      <w:r>
        <w:rPr>
          <w:rFonts w:cs="Times New Roman" w:ascii="Times New Roman" w:hAnsi="Times New Roman"/>
          <w:i/>
          <w:iCs/>
          <w:lang w:val="vi-VN"/>
        </w:rPr>
        <w:t xml:space="preserve">- </w:t>
      </w:r>
      <w:r>
        <w:rPr>
          <w:rFonts w:cs="Times New Roman" w:ascii="Times New Roman" w:hAnsi="Times New Roman"/>
          <w:lang w:val="vi-VN"/>
        </w:rPr>
        <w:t>During the process of handling the consequences of project liquidation, if complex maritime technical issues or procedures arise that exceed the competence of the provincial-level agency, the enterprise needs to proactively prepare a written request for support and guidance from the central specialized management agency.</w:t>
      </w:r>
    </w:p>
    <w:p>
      <w:pPr>
        <w:pStyle w:val="Normal"/>
        <w:spacing w:lineRule="auto" w:line="312" w:before="60" w:after="60"/>
        <w:jc w:val="both"/>
        <w:rPr/>
      </w:pPr>
      <w:r>
        <w:rPr>
          <w:rFonts w:cs="Times New Roman" w:ascii="Times New Roman" w:hAnsi="Times New Roman"/>
          <w:i/>
          <w:iCs/>
          <w:lang w:val="vi-VN"/>
        </w:rPr>
        <w:t>(Legal Basis: Clause 2 Article 2 of Decision 694/QD-BXD)</w:t>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7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Arial Unicode MS" w:cs="Arial Unicode MS"/>
        <w:kern w:val="2"/>
        <w:sz w:val="24"/>
        <w:szCs w:val="24"/>
        <w:lang w:val="vi-VN" w:eastAsia="zh-CN" w:bidi="hi-IN"/>
      </w:rPr>
    </w:rPrDefault>
    <w:pPrDefault>
      <w:pPr>
        <w:widowControl/>
      </w:pPr>
    </w:pPrDefault>
  </w:docDefaults>
  <w:style w:type="paragraph" w:styleId="Normal">
    <w:name w:val="Normal"/>
    <w:qFormat/>
    <w:pPr>
      <w:widowControl/>
    </w:pPr>
    <w:rPr>
      <w:rFonts w:ascii="Liberation Serif" w:hAnsi="Liberation Serif" w:eastAsia="Arial Unicode MS" w:cs="Arial Unicode MS"/>
      <w:color w:val="auto"/>
      <w:kern w:val="2"/>
      <w:sz w:val="24"/>
      <w:szCs w:val="24"/>
      <w:lang w:val="vi-VN"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LibreOffice/6.0.4.2$Windows_x86 LibreOffice_project/9b0d9b32d5dcda91d2f1a96dc04c645c450872bf</Application>
  <Pages>3</Pages>
  <Words>711</Words>
  <Characters>4041</Characters>
  <CharactersWithSpaces>4728</CharactersWithSpaces>
  <Paragraphs>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2026-07-02T13:44:55Z</dcterms:created>
  <dc:creator/>
  <dc:description/>
  <dc:language>vi-VN</dc:language>
  <cp:lastModifiedBy/>
  <dcterms:modified xsi:type="dcterms:W3CDTF">2026-07-02T13:45:15Z</dcterms:modified>
  <cp:revision>1</cp:revision>
  <dc:subject/>
  <dc:title/>
</cp:coreProperties>
</file>