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rFonts w:cs="Times New Roman" w:ascii="Times New Roman" w:hAnsi="Times New Roman"/>
          <w:b/>
          <w:bCs/>
          <w:lang w:val="vi-VN"/>
        </w:rPr>
        <w:t>ACTION PLAN FOR ELECTRICITY SAVING AND ROOFTOP SOLAR POWER DEVELOPMENT ACCORDING TO DECISION 1126/QD-BCT</w:t>
      </w:r>
    </w:p>
    <w:p>
      <w:pPr>
        <w:pStyle w:val="Normal"/>
        <w:jc w:val="left"/>
        <w:rPr/>
      </w:pPr>
      <w:r>
        <w:rPr>
          <w:rFonts w:cs="Times New Roman" w:ascii="Times New Roman" w:hAnsi="Times New Roman"/>
          <w:lang w:val="vi-VN"/>
        </w:rPr>
        <w:br/>
        <w:br/>
      </w:r>
      <w:r>
        <w:rPr>
          <w:rFonts w:cs="Times New Roman" w:ascii="Times New Roman" w:hAnsi="Times New Roman"/>
          <w:b/>
          <w:bCs/>
          <w:lang w:val="vi-VN"/>
        </w:rPr>
        <w:t>Question:</w:t>
      </w:r>
      <w:r>
        <w:rPr>
          <w:rFonts w:cs="Times New Roman" w:ascii="Times New Roman" w:hAnsi="Times New Roman"/>
          <w:lang w:val="vi-VN"/>
        </w:rPr>
        <w:t xml:space="preserve"> </w:t>
      </w:r>
      <w:r>
        <w:rPr>
          <w:rFonts w:cs="Times New Roman" w:ascii="Times New Roman" w:hAnsi="Times New Roman"/>
          <w:i/>
          <w:iCs/>
          <w:lang w:val="vi-VN"/>
        </w:rPr>
        <w:t>"I am a representative of a large power-consuming manufacturing enterprise in an industrial park. I heard that the Ministry of Industry and Trade has just issued a regulation on the action plan for electricity saving and rooftop solar power development. May I ask what goals and changes my enterprise needs to note and what risks exist if not updated promptly?"</w:t>
      </w:r>
    </w:p>
    <w:p>
      <w:pPr>
        <w:pStyle w:val="Normal"/>
        <w:jc w:val="left"/>
        <w:rPr/>
      </w:pPr>
      <w:r>
        <w:rPr>
          <w:rFonts w:cs="Times New Roman" w:ascii="Times New Roman" w:hAnsi="Times New Roman"/>
          <w:lang w:val="vi-VN"/>
        </w:rPr>
        <w:br/>
      </w:r>
      <w:r>
        <w:rPr>
          <w:rFonts w:cs="Times New Roman" w:ascii="Times New Roman" w:hAnsi="Times New Roman"/>
          <w:b/>
          <w:bCs/>
          <w:lang w:val="vi-VN"/>
        </w:rPr>
        <w:t>Answer:</w:t>
      </w:r>
      <w:r>
        <w:rPr>
          <w:rFonts w:cs="Times New Roman" w:ascii="Times New Roman" w:hAnsi="Times New Roman"/>
          <w:lang w:val="vi-VN"/>
        </w:rPr>
        <w:t xml:space="preserve"> Below is the detailed advisory on the new regulations regarding the action plan for electricity saving and rooftop solar power development according to Decision 1126/QD-BCT (effective from May 14, 2026):</w:t>
      </w:r>
    </w:p>
    <w:p>
      <w:pPr>
        <w:pStyle w:val="Normal"/>
        <w:jc w:val="left"/>
        <w:rPr/>
      </w:pPr>
      <w:r>
        <w:rPr>
          <w:rFonts w:cs="Times New Roman" w:ascii="Times New Roman" w:hAnsi="Times New Roman"/>
          <w:lang w:val="vi-VN"/>
        </w:rPr>
        <w:br/>
      </w:r>
    </w:p>
    <w:p>
      <w:pPr>
        <w:pStyle w:val="Normal"/>
        <w:jc w:val="left"/>
        <w:rPr/>
      </w:pPr>
      <w:r>
        <w:rPr>
          <w:rFonts w:cs="Times New Roman" w:ascii="Times New Roman" w:hAnsi="Times New Roman"/>
          <w:b/>
          <w:bCs/>
          <w:lang w:val="vi-VN"/>
        </w:rPr>
        <w:t>1/ Main contents:</w:t>
      </w:r>
      <w:r>
        <w:rPr>
          <w:rFonts w:cs="Times New Roman" w:ascii="Times New Roman" w:hAnsi="Times New Roman"/>
          <w:lang w:val="vi-VN"/>
        </w:rPr>
        <w:t xml:space="preserve"> Decision 1126/QD-BCT promulgates the action plan for electricity saving and rooftop solar power development, specifically including the following core contents:</w:t>
      </w:r>
    </w:p>
    <w:p>
      <w:pPr>
        <w:pStyle w:val="Normal"/>
        <w:jc w:val="left"/>
        <w:rPr/>
      </w:pPr>
      <w:r>
        <w:rPr>
          <w:rFonts w:cs="Times New Roman" w:ascii="Times New Roman" w:hAnsi="Times New Roman"/>
          <w:lang w:val="vi-VN"/>
        </w:rPr>
        <w:t>- Implementing Directive 10/CT-TTg dated March 30, 2026, of the Prime Minister.</w:t>
      </w:r>
    </w:p>
    <w:p>
      <w:pPr>
        <w:pStyle w:val="Normal"/>
        <w:jc w:val="left"/>
        <w:rPr/>
      </w:pPr>
      <w:r>
        <w:rPr>
          <w:rFonts w:cs="Times New Roman" w:ascii="Times New Roman" w:hAnsi="Times New Roman"/>
          <w:lang w:val="vi-VN"/>
        </w:rPr>
        <w:t>- Target for 2026: save at least 3% of the total national electricity consumption.</w:t>
      </w:r>
    </w:p>
    <w:p>
      <w:pPr>
        <w:pStyle w:val="Normal"/>
        <w:jc w:val="left"/>
        <w:rPr/>
      </w:pPr>
      <w:r>
        <w:rPr>
          <w:rFonts w:cs="Times New Roman" w:ascii="Times New Roman" w:hAnsi="Times New Roman"/>
          <w:lang w:val="vi-VN"/>
        </w:rPr>
        <w:t>- Peak hot season (April-July): strive to save at least 10% of electricity consumption.</w:t>
      </w:r>
    </w:p>
    <w:p>
      <w:pPr>
        <w:pStyle w:val="Normal"/>
        <w:jc w:val="left"/>
        <w:rPr/>
      </w:pPr>
      <w:r>
        <w:rPr>
          <w:rFonts w:cs="Times New Roman" w:ascii="Times New Roman" w:hAnsi="Times New Roman"/>
          <w:lang w:val="vi-VN"/>
        </w:rPr>
        <w:t xml:space="preserve">- Assigning tasks to EVN, the Electricity Department, the Industrial Safety and Environmental Agency, NSMO, and units under the Ministry. </w:t>
      </w:r>
    </w:p>
    <w:p>
      <w:pPr>
        <w:pStyle w:val="Normal"/>
        <w:jc w:val="left"/>
        <w:rPr/>
      </w:pPr>
      <w:r>
        <w:rPr>
          <w:rFonts w:cs="Times New Roman" w:ascii="Times New Roman" w:hAnsi="Times New Roman"/>
          <w:lang w:val="vi-VN"/>
        </w:rPr>
        <w:br/>
      </w:r>
      <w:r>
        <w:rPr>
          <w:rFonts w:cs="Times New Roman" w:ascii="Times New Roman" w:hAnsi="Times New Roman"/>
          <w:b/>
          <w:bCs/>
          <w:lang w:val="vi-VN"/>
        </w:rPr>
        <w:t>2/ Focus of adjustment:</w:t>
      </w:r>
      <w:r>
        <w:rPr>
          <w:rFonts w:cs="Times New Roman" w:ascii="Times New Roman" w:hAnsi="Times New Roman"/>
          <w:lang w:val="vi-VN"/>
        </w:rPr>
        <w:t xml:space="preserve"> </w:t>
      </w:r>
    </w:p>
    <w:p>
      <w:pPr>
        <w:pStyle w:val="Normal"/>
        <w:jc w:val="left"/>
        <w:rPr/>
      </w:pPr>
      <w:r>
        <w:rPr>
          <w:rFonts w:cs="Times New Roman" w:ascii="Times New Roman" w:hAnsi="Times New Roman"/>
          <w:lang w:val="vi-VN"/>
        </w:rPr>
        <w:t xml:space="preserve">The focus is on requiring manufacturing enterprises to establish DSM plans, energy audits, rooftop solar power, and load shifting solutions. </w:t>
      </w:r>
    </w:p>
    <w:p>
      <w:pPr>
        <w:pStyle w:val="Normal"/>
        <w:jc w:val="left"/>
        <w:rPr>
          <w:rFonts w:ascii="Times New Roman" w:hAnsi="Times New Roman" w:cs="Times New Roman"/>
          <w:b/>
          <w:b/>
          <w:bCs/>
          <w:lang w:val="vi-VN"/>
        </w:rPr>
      </w:pPr>
      <w:r>
        <w:rPr>
          <w:rFonts w:cs="Times New Roman" w:ascii="Times New Roman" w:hAnsi="Times New Roman"/>
          <w:b/>
          <w:bCs/>
          <w:lang w:val="vi-VN"/>
        </w:rPr>
      </w:r>
    </w:p>
    <w:p>
      <w:pPr>
        <w:pStyle w:val="Normal"/>
        <w:jc w:val="left"/>
        <w:rPr/>
      </w:pPr>
      <w:r>
        <w:rPr>
          <w:rFonts w:cs="Times New Roman" w:ascii="Times New Roman" w:hAnsi="Times New Roman"/>
          <w:b/>
          <w:bCs/>
          <w:lang w:val="vi-VN"/>
        </w:rPr>
        <w:t>3/ Biggest impacts:</w:t>
      </w:r>
      <w:r>
        <w:rPr>
          <w:rFonts w:cs="Times New Roman" w:ascii="Times New Roman" w:hAnsi="Times New Roman"/>
          <w:lang w:val="vi-VN"/>
        </w:rPr>
        <w:t xml:space="preserve"> </w:t>
      </w:r>
    </w:p>
    <w:p>
      <w:pPr>
        <w:pStyle w:val="Normal"/>
        <w:jc w:val="left"/>
        <w:rPr/>
      </w:pPr>
      <w:r>
        <w:rPr>
          <w:rFonts w:cs="Times New Roman" w:ascii="Times New Roman" w:hAnsi="Times New Roman"/>
          <w:lang w:val="vi-VN"/>
        </w:rPr>
        <w:t>Large power-consuming manufacturing enterprises, industrial parks, data centers, retail, and commercial real estate need to proactively manage loads and energy plans. Investing in rooftop solar power can become a solution to reduce costs and the risk of electricity shortages.</w:t>
      </w:r>
    </w:p>
    <w:p>
      <w:pPr>
        <w:pStyle w:val="Normal"/>
        <w:jc w:val="left"/>
        <w:rPr>
          <w:rFonts w:ascii="Times New Roman" w:hAnsi="Times New Roman" w:cs="Times New Roman"/>
          <w:b/>
          <w:b/>
          <w:bCs/>
          <w:lang w:val="vi-VN"/>
        </w:rPr>
      </w:pPr>
      <w:r>
        <w:rPr>
          <w:rFonts w:cs="Times New Roman" w:ascii="Times New Roman" w:hAnsi="Times New Roman"/>
          <w:b/>
          <w:bCs/>
          <w:lang w:val="vi-VN"/>
        </w:rPr>
      </w:r>
    </w:p>
    <w:p>
      <w:pPr>
        <w:pStyle w:val="Normal"/>
        <w:jc w:val="left"/>
        <w:rPr/>
      </w:pPr>
      <w:r>
        <w:rPr>
          <w:rFonts w:cs="Times New Roman" w:ascii="Times New Roman" w:hAnsi="Times New Roman"/>
          <w:b/>
          <w:bCs/>
          <w:lang w:val="vi-VN"/>
        </w:rPr>
        <w:t>4/ Risks of non-compliance and lack of electricity consumption control:</w:t>
      </w:r>
    </w:p>
    <w:p>
      <w:pPr>
        <w:pStyle w:val="Normal"/>
        <w:jc w:val="left"/>
        <w:rPr/>
      </w:pPr>
      <w:r>
        <w:rPr>
          <w:rFonts w:cs="Times New Roman" w:ascii="Times New Roman" w:hAnsi="Times New Roman"/>
          <w:lang w:val="vi-VN"/>
        </w:rPr>
        <w:t>- Lack of electricity consumption control: increased costs, being requested to reduce loads during peak periods.</w:t>
      </w:r>
    </w:p>
    <w:p>
      <w:pPr>
        <w:pStyle w:val="Normal"/>
        <w:jc w:val="left"/>
        <w:rPr/>
      </w:pPr>
      <w:r>
        <w:rPr>
          <w:rFonts w:cs="Times New Roman" w:ascii="Times New Roman" w:hAnsi="Times New Roman"/>
          <w:lang w:val="vi-VN"/>
        </w:rPr>
        <w:t xml:space="preserve">- </w:t>
      </w:r>
      <w:bookmarkStart w:id="0" w:name="_GoBack"/>
      <w:bookmarkEnd w:id="0"/>
      <w:r>
        <w:rPr>
          <w:rFonts w:cs="Times New Roman" w:ascii="Times New Roman" w:hAnsi="Times New Roman"/>
          <w:lang w:val="vi-VN"/>
        </w:rPr>
        <w:t xml:space="preserve">Investing in rooftop solar power not in accordance with technical/connection regulations: safety risks, failure to be accepted/commissioned. </w:t>
      </w:r>
    </w:p>
    <w:p>
      <w:pPr>
        <w:pStyle w:val="Normal"/>
        <w:jc w:val="left"/>
        <w:rPr>
          <w:rFonts w:ascii="Times New Roman" w:hAnsi="Times New Roman" w:cs="Times New Roman"/>
          <w:b/>
          <w:b/>
          <w:bCs/>
          <w:lang w:val="vi-VN"/>
        </w:rPr>
      </w:pPr>
      <w:r>
        <w:rPr>
          <w:rFonts w:cs="Times New Roman" w:ascii="Times New Roman" w:hAnsi="Times New Roman"/>
          <w:b/>
          <w:bCs/>
          <w:lang w:val="vi-VN"/>
        </w:rPr>
      </w:r>
    </w:p>
    <w:p>
      <w:pPr>
        <w:pStyle w:val="Normal"/>
        <w:jc w:val="left"/>
        <w:rPr/>
      </w:pPr>
      <w:r>
        <w:rPr>
          <w:rFonts w:cs="Times New Roman" w:ascii="Times New Roman" w:hAnsi="Times New Roman"/>
          <w:b/>
          <w:bCs/>
          <w:lang w:val="vi-VN"/>
        </w:rPr>
        <w:t>5/ Proposed action plan:</w:t>
      </w:r>
      <w:r>
        <w:rPr>
          <w:rFonts w:cs="Times New Roman" w:ascii="Times New Roman" w:hAnsi="Times New Roman"/>
          <w:lang w:val="vi-VN"/>
        </w:rPr>
        <w:t xml:space="preserve"> </w:t>
      </w:r>
    </w:p>
    <w:p>
      <w:pPr>
        <w:pStyle w:val="Normal"/>
        <w:jc w:val="left"/>
        <w:rPr/>
      </w:pPr>
      <w:r>
        <w:rPr>
          <w:rFonts w:cs="Times New Roman" w:ascii="Times New Roman" w:hAnsi="Times New Roman"/>
          <w:lang w:val="vi-VN"/>
        </w:rPr>
        <w:t>Update the checklist and establish a 2026 electricity saving plan, with specific kWh targets by factory/office. Survey rooftop solar power, metering systems, and connection conditions before investing.</w:t>
      </w:r>
    </w:p>
    <w:p>
      <w:pPr>
        <w:pStyle w:val="Normal"/>
        <w:jc w:val="left"/>
        <w:rPr>
          <w:rFonts w:ascii="Times New Roman" w:hAnsi="Times New Roman" w:cs="Times New Roman"/>
          <w:lang w:val="vi-VN"/>
        </w:rPr>
      </w:pPr>
      <w:r>
        <w:rPr>
          <w:rFonts w:cs="Times New Roman" w:ascii="Times New Roman" w:hAnsi="Times New Roman"/>
          <w:lang w:val="vi-VN"/>
        </w:rPr>
      </w:r>
    </w:p>
    <w:p>
      <w:pPr>
        <w:pStyle w:val="Normal"/>
        <w:jc w:val="left"/>
        <w:rPr/>
      </w:pPr>
      <w:r>
        <w:rPr>
          <w:rFonts w:cs="Times New Roman" w:ascii="Times New Roman" w:hAnsi="Times New Roman"/>
          <w:b/>
          <w:bCs/>
          <w:lang w:val="vi-VN"/>
        </w:rPr>
        <w:t>6/ Notes and Recommendations for Customers:</w:t>
      </w:r>
      <w:r>
        <w:rPr>
          <w:rFonts w:cs="Times New Roman" w:ascii="Times New Roman" w:hAnsi="Times New Roman"/>
          <w:lang w:val="vi-VN"/>
        </w:rPr>
        <w:t xml:space="preserve"> </w:t>
      </w:r>
    </w:p>
    <w:p>
      <w:pPr>
        <w:pStyle w:val="Normal"/>
        <w:spacing w:lineRule="auto" w:line="312" w:before="120" w:after="120"/>
        <w:jc w:val="left"/>
        <w:rPr/>
      </w:pPr>
      <w:r>
        <w:rPr>
          <w:rFonts w:cs="Times New Roman" w:ascii="Times New Roman" w:hAnsi="Times New Roman"/>
          <w:lang w:val="vi-VN"/>
        </w:rPr>
        <w:t>Enterprises must proactively manage their load demand and coordinate the formulation of rational energy plans. Concurrently, enterprises are required to thoroughly verify all technical and interconnection conditions prior to conducting surveys and investing in rooftop solar power systems, in order to mitigate the risk of non-acceptance or safety hazards under the new procedures.</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7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vi-VN"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1</Pages>
  <Words>389</Words>
  <Characters>2311</Characters>
  <CharactersWithSpaces>2693</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2026-07-02T13:48:15Z</dcterms:created>
  <dc:creator/>
  <dc:description/>
  <dc:language>vi-VN</dc:language>
  <cp:lastModifiedBy/>
  <dcterms:modified xsi:type="dcterms:W3CDTF">2026-07-02T13:48:51Z</dcterms:modified>
  <cp:revision>1</cp:revision>
  <dc:subject/>
  <dc:title/>
</cp:coreProperties>
</file>