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4" w:type="pct"/>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609"/>
      </w:tblGrid>
      <w:tr w:rsidR="00E76D5B" w:rsidRPr="00076D3D" w:rsidTr="00BE078F">
        <w:tc>
          <w:tcPr>
            <w:tcW w:w="1936" w:type="pct"/>
            <w:tcBorders>
              <w:top w:val="nil"/>
              <w:left w:val="nil"/>
              <w:bottom w:val="nil"/>
              <w:right w:val="nil"/>
              <w:tl2br w:val="nil"/>
              <w:tr2bl w:val="nil"/>
            </w:tcBorders>
            <w:shd w:val="clear" w:color="auto" w:fill="auto"/>
            <w:tcMar>
              <w:top w:w="0" w:type="dxa"/>
              <w:left w:w="108" w:type="dxa"/>
              <w:bottom w:w="0" w:type="dxa"/>
              <w:right w:w="108" w:type="dxa"/>
            </w:tcMar>
          </w:tcPr>
          <w:p w:rsidR="00E76D5B" w:rsidRPr="00AE7383" w:rsidRDefault="00E76D5B" w:rsidP="00BC4A3F">
            <w:pPr>
              <w:jc w:val="center"/>
              <w:rPr>
                <w:rFonts w:ascii="Arial" w:hAnsi="Arial" w:cs="Arial"/>
                <w:bCs/>
                <w:sz w:val="20"/>
                <w:szCs w:val="20"/>
              </w:rPr>
            </w:pPr>
            <w:bookmarkStart w:id="0" w:name="_GoBack"/>
            <w:r w:rsidRPr="00AE7383">
              <w:rPr>
                <w:rFonts w:ascii="Arial" w:hAnsi="Arial" w:cs="Arial"/>
                <w:bCs/>
                <w:sz w:val="20"/>
                <w:szCs w:val="20"/>
              </w:rPr>
              <w:t>TỔNG CỤC THUẾ</w:t>
            </w:r>
          </w:p>
          <w:p w:rsidR="00E76D5B" w:rsidRPr="00076D3D" w:rsidRDefault="00E76D5B" w:rsidP="00BC4A3F">
            <w:pPr>
              <w:jc w:val="center"/>
              <w:rPr>
                <w:rFonts w:ascii="Arial" w:hAnsi="Arial" w:cs="Arial"/>
                <w:sz w:val="20"/>
                <w:szCs w:val="20"/>
              </w:rPr>
            </w:pPr>
            <w:r w:rsidRPr="00AE7383">
              <w:rPr>
                <w:rFonts w:ascii="Arial" w:hAnsi="Arial" w:cs="Arial"/>
                <w:b/>
                <w:bCs/>
                <w:sz w:val="20"/>
                <w:szCs w:val="20"/>
              </w:rPr>
              <w:t>CỤC THUẾ</w:t>
            </w:r>
            <w:r>
              <w:rPr>
                <w:rFonts w:ascii="Arial" w:hAnsi="Arial" w:cs="Arial"/>
                <w:b/>
                <w:bCs/>
                <w:sz w:val="20"/>
                <w:szCs w:val="20"/>
              </w:rPr>
              <w:t xml:space="preserve"> </w:t>
            </w:r>
            <w:r w:rsidRPr="004E11BD">
              <w:rPr>
                <w:rFonts w:ascii="Arial" w:hAnsi="Arial" w:cs="Arial"/>
                <w:b/>
                <w:bCs/>
                <w:sz w:val="20"/>
                <w:szCs w:val="20"/>
              </w:rPr>
              <w:t xml:space="preserve">TỈNH </w:t>
            </w:r>
            <w:r w:rsidRPr="001722F2">
              <w:rPr>
                <w:rFonts w:ascii="Arial" w:hAnsi="Arial" w:cs="Arial"/>
                <w:b/>
                <w:bCs/>
                <w:sz w:val="20"/>
                <w:szCs w:val="20"/>
              </w:rPr>
              <w:t>QUẢNG NGÃI</w:t>
            </w:r>
            <w:r w:rsidRPr="00076D3D">
              <w:rPr>
                <w:rFonts w:ascii="Arial" w:hAnsi="Arial" w:cs="Arial"/>
                <w:b/>
                <w:bCs/>
                <w:sz w:val="20"/>
                <w:szCs w:val="20"/>
              </w:rPr>
              <w:br/>
            </w:r>
            <w:r w:rsidRPr="00076D3D">
              <w:rPr>
                <w:rFonts w:ascii="Arial" w:hAnsi="Arial" w:cs="Arial"/>
                <w:bCs/>
                <w:sz w:val="20"/>
                <w:szCs w:val="20"/>
                <w:vertAlign w:val="superscript"/>
              </w:rPr>
              <w:t>________________</w:t>
            </w:r>
          </w:p>
        </w:tc>
        <w:tc>
          <w:tcPr>
            <w:tcW w:w="3064" w:type="pct"/>
            <w:tcBorders>
              <w:top w:val="nil"/>
              <w:left w:val="nil"/>
              <w:bottom w:val="nil"/>
              <w:right w:val="nil"/>
              <w:tl2br w:val="nil"/>
              <w:tr2bl w:val="nil"/>
            </w:tcBorders>
            <w:shd w:val="clear" w:color="auto" w:fill="auto"/>
            <w:tcMar>
              <w:top w:w="0" w:type="dxa"/>
              <w:left w:w="108" w:type="dxa"/>
              <w:bottom w:w="0" w:type="dxa"/>
              <w:right w:w="108" w:type="dxa"/>
            </w:tcMar>
          </w:tcPr>
          <w:p w:rsidR="00E76D5B" w:rsidRPr="00076D3D" w:rsidRDefault="00E76D5B" w:rsidP="00BC4A3F">
            <w:pPr>
              <w:jc w:val="center"/>
              <w:rPr>
                <w:rFonts w:ascii="Arial" w:hAnsi="Arial" w:cs="Arial"/>
                <w:sz w:val="20"/>
                <w:szCs w:val="20"/>
              </w:rPr>
            </w:pPr>
            <w:r w:rsidRPr="00076D3D">
              <w:rPr>
                <w:rFonts w:ascii="Arial" w:hAnsi="Arial" w:cs="Arial"/>
                <w:b/>
                <w:bCs/>
                <w:sz w:val="20"/>
                <w:szCs w:val="20"/>
              </w:rPr>
              <w:t>CỘNG HÒA XÃ HỘI CHỦ NGHĨA VIỆT NAM</w:t>
            </w:r>
            <w:r w:rsidRPr="00076D3D">
              <w:rPr>
                <w:rFonts w:ascii="Arial" w:hAnsi="Arial" w:cs="Arial"/>
                <w:b/>
                <w:bCs/>
                <w:sz w:val="20"/>
                <w:szCs w:val="20"/>
              </w:rPr>
              <w:br/>
              <w:t>Độc lập - Tự do - Hạnh phúc</w:t>
            </w:r>
            <w:r w:rsidRPr="00076D3D">
              <w:rPr>
                <w:rFonts w:ascii="Arial" w:hAnsi="Arial" w:cs="Arial"/>
                <w:b/>
                <w:bCs/>
                <w:sz w:val="20"/>
                <w:szCs w:val="20"/>
              </w:rPr>
              <w:br/>
            </w:r>
            <w:r w:rsidRPr="00076D3D">
              <w:rPr>
                <w:rFonts w:ascii="Arial" w:hAnsi="Arial" w:cs="Arial"/>
                <w:bCs/>
                <w:sz w:val="20"/>
                <w:szCs w:val="20"/>
                <w:vertAlign w:val="superscript"/>
              </w:rPr>
              <w:t>________________________</w:t>
            </w:r>
          </w:p>
        </w:tc>
      </w:tr>
      <w:tr w:rsidR="00E76D5B" w:rsidRPr="00076D3D" w:rsidTr="00BE078F">
        <w:tblPrEx>
          <w:tblBorders>
            <w:top w:val="none" w:sz="0" w:space="0" w:color="auto"/>
            <w:bottom w:val="none" w:sz="0" w:space="0" w:color="auto"/>
            <w:insideH w:val="none" w:sz="0" w:space="0" w:color="auto"/>
            <w:insideV w:val="none" w:sz="0" w:space="0" w:color="auto"/>
          </w:tblBorders>
        </w:tblPrEx>
        <w:trPr>
          <w:trHeight w:val="166"/>
        </w:trPr>
        <w:tc>
          <w:tcPr>
            <w:tcW w:w="1936" w:type="pct"/>
            <w:tcBorders>
              <w:top w:val="nil"/>
              <w:left w:val="nil"/>
              <w:bottom w:val="nil"/>
              <w:right w:val="nil"/>
              <w:tl2br w:val="nil"/>
              <w:tr2bl w:val="nil"/>
            </w:tcBorders>
            <w:shd w:val="clear" w:color="auto" w:fill="auto"/>
            <w:tcMar>
              <w:top w:w="0" w:type="dxa"/>
              <w:left w:w="108" w:type="dxa"/>
              <w:bottom w:w="0" w:type="dxa"/>
              <w:right w:w="108" w:type="dxa"/>
            </w:tcMar>
          </w:tcPr>
          <w:p w:rsidR="00E76D5B" w:rsidRPr="004E11BD" w:rsidRDefault="00E76D5B" w:rsidP="00BC4A3F">
            <w:pPr>
              <w:jc w:val="center"/>
              <w:rPr>
                <w:rFonts w:ascii="Arial" w:hAnsi="Arial" w:cs="Arial"/>
                <w:sz w:val="20"/>
                <w:szCs w:val="20"/>
              </w:rPr>
            </w:pPr>
            <w:r w:rsidRPr="00076D3D">
              <w:rPr>
                <w:rFonts w:ascii="Arial" w:hAnsi="Arial" w:cs="Arial"/>
                <w:sz w:val="20"/>
                <w:szCs w:val="20"/>
              </w:rPr>
              <w:t>Số</w:t>
            </w:r>
            <w:r>
              <w:rPr>
                <w:rFonts w:ascii="Arial" w:hAnsi="Arial" w:cs="Arial"/>
                <w:sz w:val="20"/>
                <w:szCs w:val="20"/>
              </w:rPr>
              <w:t>:</w:t>
            </w:r>
            <w:r w:rsidRPr="00FC7926">
              <w:rPr>
                <w:rFonts w:ascii="Arial" w:hAnsi="Arial" w:cs="Arial"/>
                <w:sz w:val="20"/>
                <w:szCs w:val="20"/>
              </w:rPr>
              <w:t xml:space="preserve"> </w:t>
            </w:r>
            <w:r w:rsidR="00ED1CFE">
              <w:rPr>
                <w:rFonts w:ascii="Arial" w:hAnsi="Arial" w:cs="Arial"/>
                <w:sz w:val="20"/>
                <w:szCs w:val="20"/>
                <w:lang w:val="en-US"/>
              </w:rPr>
              <w:t>2775</w:t>
            </w:r>
            <w:r w:rsidRPr="00FC7926">
              <w:rPr>
                <w:rFonts w:ascii="Arial" w:hAnsi="Arial" w:cs="Arial"/>
                <w:sz w:val="20"/>
                <w:szCs w:val="20"/>
              </w:rPr>
              <w:t>/</w:t>
            </w:r>
            <w:r w:rsidRPr="004E11BD">
              <w:rPr>
                <w:rFonts w:ascii="Arial" w:hAnsi="Arial" w:cs="Arial"/>
                <w:sz w:val="20"/>
                <w:szCs w:val="20"/>
              </w:rPr>
              <w:t>CT</w:t>
            </w:r>
            <w:r>
              <w:rPr>
                <w:rFonts w:ascii="Arial" w:hAnsi="Arial" w:cs="Arial"/>
                <w:sz w:val="20"/>
                <w:szCs w:val="20"/>
                <w:lang w:val="en-US"/>
              </w:rPr>
              <w:t>QNG</w:t>
            </w:r>
            <w:r w:rsidRPr="004E11BD">
              <w:rPr>
                <w:rFonts w:ascii="Arial" w:hAnsi="Arial" w:cs="Arial"/>
                <w:sz w:val="20"/>
                <w:szCs w:val="20"/>
              </w:rPr>
              <w:t>-TTHT</w:t>
            </w:r>
          </w:p>
          <w:p w:rsidR="00BC4A3F" w:rsidRPr="00BC4A3F" w:rsidRDefault="00E76D5B" w:rsidP="00BC4A3F">
            <w:pPr>
              <w:pStyle w:val="NormalWeb"/>
              <w:spacing w:before="0" w:beforeAutospacing="0" w:after="0" w:afterAutospacing="0"/>
              <w:jc w:val="center"/>
              <w:rPr>
                <w:sz w:val="20"/>
                <w:szCs w:val="20"/>
                <w:lang w:val="vi-VN"/>
              </w:rPr>
            </w:pPr>
            <w:r w:rsidRPr="00BC4A3F">
              <w:rPr>
                <w:rFonts w:ascii="Arial" w:hAnsi="Arial" w:cs="Arial"/>
                <w:sz w:val="20"/>
                <w:szCs w:val="20"/>
                <w:lang w:val="vi-VN"/>
              </w:rPr>
              <w:t xml:space="preserve">V/v </w:t>
            </w:r>
            <w:r w:rsidR="00BC4A3F" w:rsidRPr="00BC4A3F">
              <w:rPr>
                <w:rFonts w:ascii="Arial" w:hAnsi="Arial" w:cs="Arial"/>
                <w:sz w:val="20"/>
                <w:szCs w:val="20"/>
                <w:lang w:val="vi-VN"/>
              </w:rPr>
              <w:t>khai thuế TNCN từ đầu tư vốn đối với thu nhập nhận cổ tức bằng cổ phiếu, cổ phiếu thưởng cho cổ đông hiện hữu</w:t>
            </w:r>
          </w:p>
          <w:p w:rsidR="00E76D5B" w:rsidRPr="004E11BD" w:rsidRDefault="00E76D5B" w:rsidP="00BC4A3F">
            <w:pPr>
              <w:pStyle w:val="Vnbnnidung20"/>
              <w:spacing w:after="0"/>
              <w:ind w:firstLine="0"/>
              <w:jc w:val="center"/>
              <w:rPr>
                <w:rFonts w:ascii="Arial" w:hAnsi="Arial" w:cs="Arial"/>
                <w:sz w:val="20"/>
                <w:szCs w:val="20"/>
              </w:rPr>
            </w:pPr>
          </w:p>
        </w:tc>
        <w:tc>
          <w:tcPr>
            <w:tcW w:w="3064" w:type="pct"/>
            <w:tcBorders>
              <w:top w:val="nil"/>
              <w:left w:val="nil"/>
              <w:bottom w:val="nil"/>
              <w:right w:val="nil"/>
              <w:tl2br w:val="nil"/>
              <w:tr2bl w:val="nil"/>
            </w:tcBorders>
            <w:shd w:val="clear" w:color="auto" w:fill="auto"/>
            <w:tcMar>
              <w:top w:w="0" w:type="dxa"/>
              <w:left w:w="108" w:type="dxa"/>
              <w:bottom w:w="0" w:type="dxa"/>
              <w:right w:w="108" w:type="dxa"/>
            </w:tcMar>
          </w:tcPr>
          <w:p w:rsidR="00E76D5B" w:rsidRPr="00ED1CFE" w:rsidRDefault="00E76D5B" w:rsidP="00BC4A3F">
            <w:pPr>
              <w:jc w:val="center"/>
              <w:rPr>
                <w:rFonts w:ascii="Arial" w:hAnsi="Arial" w:cs="Arial"/>
                <w:sz w:val="20"/>
                <w:szCs w:val="20"/>
              </w:rPr>
            </w:pPr>
            <w:r w:rsidRPr="001722F2">
              <w:rPr>
                <w:rFonts w:ascii="Arial" w:hAnsi="Arial" w:cs="Arial"/>
                <w:i/>
                <w:iCs/>
                <w:sz w:val="20"/>
                <w:szCs w:val="20"/>
              </w:rPr>
              <w:t>Quảng Ngãi</w:t>
            </w:r>
            <w:r>
              <w:rPr>
                <w:rFonts w:ascii="Arial" w:hAnsi="Arial" w:cs="Arial"/>
                <w:i/>
                <w:iCs/>
                <w:sz w:val="20"/>
                <w:szCs w:val="20"/>
              </w:rPr>
              <w:t>, ngày</w:t>
            </w:r>
            <w:r w:rsidRPr="00C86261">
              <w:rPr>
                <w:rFonts w:ascii="Arial" w:hAnsi="Arial" w:cs="Arial"/>
                <w:i/>
                <w:iCs/>
                <w:sz w:val="20"/>
                <w:szCs w:val="20"/>
              </w:rPr>
              <w:t xml:space="preserve"> </w:t>
            </w:r>
            <w:r w:rsidR="00ED1CFE" w:rsidRPr="00ED1CFE">
              <w:rPr>
                <w:rFonts w:ascii="Arial" w:hAnsi="Arial" w:cs="Arial"/>
                <w:i/>
                <w:iCs/>
                <w:sz w:val="20"/>
                <w:szCs w:val="20"/>
              </w:rPr>
              <w:t>04</w:t>
            </w:r>
            <w:r w:rsidRPr="005E2C81">
              <w:rPr>
                <w:rFonts w:ascii="Arial" w:hAnsi="Arial" w:cs="Arial"/>
                <w:i/>
                <w:iCs/>
                <w:sz w:val="20"/>
                <w:szCs w:val="20"/>
              </w:rPr>
              <w:t xml:space="preserve"> tháng </w:t>
            </w:r>
            <w:r w:rsidR="00ED1CFE" w:rsidRPr="00ED1CFE">
              <w:rPr>
                <w:rFonts w:ascii="Arial" w:hAnsi="Arial" w:cs="Arial"/>
                <w:i/>
                <w:iCs/>
                <w:sz w:val="20"/>
                <w:szCs w:val="20"/>
              </w:rPr>
              <w:t>6</w:t>
            </w:r>
            <w:r w:rsidRPr="005E2C81">
              <w:rPr>
                <w:rFonts w:ascii="Arial" w:hAnsi="Arial" w:cs="Arial"/>
                <w:i/>
                <w:iCs/>
                <w:sz w:val="20"/>
                <w:szCs w:val="20"/>
              </w:rPr>
              <w:t xml:space="preserve"> năm </w:t>
            </w:r>
            <w:r w:rsidRPr="002C6837">
              <w:rPr>
                <w:rFonts w:ascii="Arial" w:hAnsi="Arial" w:cs="Arial"/>
                <w:i/>
                <w:iCs/>
                <w:sz w:val="20"/>
                <w:szCs w:val="20"/>
              </w:rPr>
              <w:t>20</w:t>
            </w:r>
            <w:r w:rsidR="00ED1CFE" w:rsidRPr="00ED1CFE">
              <w:rPr>
                <w:rFonts w:ascii="Arial" w:hAnsi="Arial" w:cs="Arial"/>
                <w:i/>
                <w:iCs/>
                <w:sz w:val="20"/>
                <w:szCs w:val="20"/>
              </w:rPr>
              <w:t>24</w:t>
            </w:r>
          </w:p>
        </w:tc>
      </w:tr>
    </w:tbl>
    <w:p w:rsidR="00E76D5B" w:rsidRPr="00E76D5B" w:rsidRDefault="00E76D5B" w:rsidP="00BC4A3F">
      <w:pPr>
        <w:pStyle w:val="NormalWeb"/>
        <w:spacing w:before="0" w:beforeAutospacing="0" w:after="0" w:afterAutospacing="0"/>
        <w:jc w:val="center"/>
        <w:rPr>
          <w:rFonts w:ascii="Arial" w:hAnsi="Arial" w:cs="Arial"/>
          <w:sz w:val="20"/>
          <w:szCs w:val="20"/>
          <w:lang w:val="vi-VN"/>
        </w:rPr>
      </w:pPr>
    </w:p>
    <w:p w:rsidR="00E76D5B" w:rsidRPr="00BC4A3F" w:rsidRDefault="00E76D5B" w:rsidP="00BC4A3F">
      <w:pPr>
        <w:pStyle w:val="NormalWeb"/>
        <w:spacing w:before="0" w:beforeAutospacing="0" w:after="0" w:afterAutospacing="0"/>
        <w:jc w:val="center"/>
        <w:rPr>
          <w:sz w:val="20"/>
          <w:szCs w:val="20"/>
          <w:lang w:val="vi-VN"/>
        </w:rPr>
      </w:pPr>
      <w:r w:rsidRPr="00BC4A3F">
        <w:rPr>
          <w:rFonts w:ascii="Arial" w:hAnsi="Arial" w:cs="Arial"/>
          <w:sz w:val="20"/>
          <w:szCs w:val="20"/>
          <w:lang w:val="vi-VN"/>
        </w:rPr>
        <w:t>Kính gửi: Người nộp thuế trên địa bàn tỉnh Quảng Ngãi.</w:t>
      </w:r>
    </w:p>
    <w:p w:rsidR="00BE4B26" w:rsidRDefault="00BE4B26" w:rsidP="00BC4A3F">
      <w:pPr>
        <w:pStyle w:val="NormalWeb"/>
        <w:spacing w:before="0" w:beforeAutospacing="0" w:after="120" w:afterAutospacing="0"/>
        <w:ind w:firstLine="720"/>
        <w:jc w:val="both"/>
        <w:rPr>
          <w:rFonts w:ascii="Arial" w:hAnsi="Arial" w:cs="Arial"/>
          <w:sz w:val="20"/>
          <w:szCs w:val="20"/>
        </w:rPr>
      </w:pPr>
    </w:p>
    <w:p w:rsidR="00E76D5B" w:rsidRPr="00E76D5B" w:rsidRDefault="00E76D5B" w:rsidP="00BC4A3F">
      <w:pPr>
        <w:pStyle w:val="NormalWeb"/>
        <w:spacing w:before="0" w:beforeAutospacing="0" w:after="120" w:afterAutospacing="0"/>
        <w:ind w:firstLine="720"/>
        <w:jc w:val="both"/>
        <w:rPr>
          <w:sz w:val="20"/>
          <w:szCs w:val="20"/>
        </w:rPr>
      </w:pPr>
      <w:r w:rsidRPr="00E76D5B">
        <w:rPr>
          <w:rFonts w:ascii="Arial" w:hAnsi="Arial" w:cs="Arial"/>
          <w:sz w:val="20"/>
          <w:szCs w:val="20"/>
        </w:rPr>
        <w:t>Theo quy định tại Khoản 5 Điều 7 Nghị định số 126/2020/NĐ-CP ngày 19/10/2020 và Khoản 8 Điều 1 Nghị định số 91/2022/NĐ-CP ngày 30/10/2022 của Chính Phủ về trách nhiệm của tổ chức khai thuế thay và nộp thuế thay cho cá nhân nhận cổ tức bằng chứng khoán, cá nhân là cổ đông hiện hữu nhận thưởng bằng chứng khoán; đồng thời để hỗ trợ người nộp thuế là cá nhân có thu nhập từ nhận cổ tức bằng cổ phiếu, cổ phiếu thưởng cho cổ đông hiện hữu và các tổ chức có trách nhiệm khai thuế, nộp thuế thay cho cá nhân xác định rõ nghĩa vụ kê khai, nộp thuế TNCN đối với thu nhập từ đầu vốn khi cá nhân thực hiện chuyển nhượng cổ phiếu cùng loại theo đúng quy định của pháp luật. Cục Thuế lưu ý một số nội dung như sau:</w:t>
      </w:r>
    </w:p>
    <w:p w:rsidR="00E76D5B" w:rsidRPr="00E76D5B" w:rsidRDefault="00E76D5B" w:rsidP="00BC4A3F">
      <w:pPr>
        <w:pStyle w:val="NormalWeb"/>
        <w:spacing w:before="0" w:beforeAutospacing="0" w:after="120" w:afterAutospacing="0"/>
        <w:ind w:firstLine="720"/>
        <w:jc w:val="both"/>
        <w:rPr>
          <w:sz w:val="20"/>
          <w:szCs w:val="20"/>
        </w:rPr>
      </w:pPr>
      <w:r w:rsidRPr="00E76D5B">
        <w:rPr>
          <w:rFonts w:ascii="Arial" w:hAnsi="Arial" w:cs="Arial"/>
          <w:sz w:val="20"/>
          <w:szCs w:val="20"/>
        </w:rPr>
        <w:t>-</w:t>
      </w:r>
      <w:r w:rsidR="00BC4A3F">
        <w:rPr>
          <w:rStyle w:val="apple-tab-span"/>
          <w:rFonts w:ascii="Arial" w:hAnsi="Arial" w:cs="Arial"/>
          <w:sz w:val="20"/>
          <w:szCs w:val="20"/>
        </w:rPr>
        <w:t xml:space="preserve"> </w:t>
      </w:r>
      <w:r w:rsidRPr="00E76D5B">
        <w:rPr>
          <w:rFonts w:ascii="Arial" w:hAnsi="Arial" w:cs="Arial"/>
          <w:sz w:val="20"/>
          <w:szCs w:val="20"/>
        </w:rPr>
        <w:t>Từ ngày 01/01/2023, đối với cá nhân nhận cổ tức bằng chứng khoán, cá nhân là cổ đông hiện hữu nhận thưởng bằng chứng khoán thì tổ chức có trách nhiệm khai thuế thay và nộp thuế thay cho cá nhân đối với thu nhập từ đầu tư vốn khi cá nhân chuyển nhượng chứng khoán cùng loại, cụ thể:</w:t>
      </w:r>
    </w:p>
    <w:p w:rsidR="00E76D5B" w:rsidRPr="00E76D5B" w:rsidRDefault="00E76D5B" w:rsidP="00BC4A3F">
      <w:pPr>
        <w:pStyle w:val="NormalWeb"/>
        <w:spacing w:before="0" w:beforeAutospacing="0" w:after="120" w:afterAutospacing="0"/>
        <w:ind w:firstLine="720"/>
        <w:jc w:val="both"/>
        <w:rPr>
          <w:sz w:val="20"/>
          <w:szCs w:val="20"/>
        </w:rPr>
      </w:pPr>
      <w:r w:rsidRPr="00E76D5B">
        <w:rPr>
          <w:rFonts w:ascii="Arial" w:hAnsi="Arial" w:cs="Arial"/>
          <w:sz w:val="20"/>
          <w:szCs w:val="20"/>
        </w:rPr>
        <w:t>+ Đối với chứng khoán thông qua hệ thống giao dịch trên Sở giao dịch chứng khoán thì tổ chức khai thuế thay và nộp thuế thay là công ty chứng khoán, ngân hàng thương mại nơi cá nhân mở tài khoản lưu ký, công ty quản lý quỹ nơi cá nhân ủy thác danh mục đầu tư.</w:t>
      </w:r>
    </w:p>
    <w:p w:rsidR="00E76D5B" w:rsidRPr="00E76D5B" w:rsidRDefault="00E76D5B" w:rsidP="00BC4A3F">
      <w:pPr>
        <w:pStyle w:val="NormalWeb"/>
        <w:spacing w:before="0" w:beforeAutospacing="0" w:after="120" w:afterAutospacing="0"/>
        <w:ind w:firstLine="720"/>
        <w:jc w:val="both"/>
        <w:rPr>
          <w:sz w:val="20"/>
          <w:szCs w:val="20"/>
        </w:rPr>
      </w:pPr>
      <w:r w:rsidRPr="00E76D5B">
        <w:rPr>
          <w:rFonts w:ascii="Arial" w:hAnsi="Arial" w:cs="Arial"/>
          <w:sz w:val="20"/>
          <w:szCs w:val="20"/>
        </w:rPr>
        <w:t>+ Đối với chứng khoán không thông qua hệ thống giao dịch trên Sở giao dịch chứng khoán thì tổ chức khai thuế thay và nộp thuế thay như sau: chứng khoán của công ty đại chúng đã đăng ký chứng khoán tập trung tại Trung tâm lưu ký chứng khoán thì tổ chức khai thuế thay và nộp thuế thay là công ty chứng khoán, ngân hàng thương mại nơi cá nhân mở tài khoản lưu ký chứng khoán; chứng khoán của công ty cổ phần chưa là công ty đại chúng nhưng tổ chức phát hành chứng khoán ủy quyền cho công ty chứng khoán quản lý danh sách cổ đông thì tổ chức khai thuế thay và nộp thuế thay là công ty chứng khoán được ủy quyền quản lý danh sách cổ đông; chứng khoán không thuộc trường hợp quy định nêu tại đoạn này thì tổ chức khai thuế thay và nộp thuế thay là tổ chức phát hành chứng khoán.</w:t>
      </w:r>
    </w:p>
    <w:p w:rsidR="00E76D5B" w:rsidRPr="00E76D5B" w:rsidRDefault="00E76D5B" w:rsidP="00BC4A3F">
      <w:pPr>
        <w:pStyle w:val="NormalWeb"/>
        <w:spacing w:before="0" w:beforeAutospacing="0" w:after="120" w:afterAutospacing="0"/>
        <w:ind w:firstLine="720"/>
        <w:jc w:val="both"/>
        <w:rPr>
          <w:sz w:val="20"/>
          <w:szCs w:val="20"/>
        </w:rPr>
      </w:pPr>
      <w:r w:rsidRPr="00E76D5B">
        <w:rPr>
          <w:rFonts w:ascii="Arial" w:hAnsi="Arial" w:cs="Arial"/>
          <w:sz w:val="20"/>
          <w:szCs w:val="20"/>
        </w:rPr>
        <w:t>-</w:t>
      </w:r>
      <w:r w:rsidR="00BC4A3F">
        <w:rPr>
          <w:rStyle w:val="apple-tab-span"/>
          <w:rFonts w:ascii="Arial" w:hAnsi="Arial" w:cs="Arial"/>
          <w:sz w:val="20"/>
          <w:szCs w:val="20"/>
        </w:rPr>
        <w:t xml:space="preserve"> </w:t>
      </w:r>
      <w:r w:rsidRPr="00E76D5B">
        <w:rPr>
          <w:rFonts w:ascii="Arial" w:hAnsi="Arial" w:cs="Arial"/>
          <w:sz w:val="20"/>
          <w:szCs w:val="20"/>
        </w:rPr>
        <w:t>Trường hợp cá nhân nhận cổ tức bằng chứng khoán, cá nhân là cổ đông hiện hữu nhận thưởng bằng chứng khoán được ghi nhận vào tài khoản chứng khoán của nhà đầu tư từ ngày 31 tháng 12 năm 2022 trở về trước và chưa được các công ty chứng khoán, ngân hàng thương mại nơi cá nhân mở tài khoản lưu ký, công ty quản lý quỹ nơi cá nhân ủy thác danh mục đầu tư, tổ chức phát hành</w:t>
      </w:r>
      <w:r w:rsidRPr="00E76D5B">
        <w:rPr>
          <w:rFonts w:ascii="Arial" w:hAnsi="Arial" w:cs="Arial"/>
          <w:sz w:val="20"/>
          <w:szCs w:val="20"/>
        </w:rPr>
        <w:br/>
        <w:t xml:space="preserve"> chứng khoán khai thuế thay, nộp thuế thay thì cá nhân thực hiện khai, nộp thuế thu nhập cá nhân theo quy định của pháp luật thuế Thu nhập cá nhân và không bị xử phạt vi phạm hành chính về chậm nộp hồ sơ khai thuế, không bị tính tiền chậm nộp (nếu có) theo quy định tại khoản 11 Điều 16 Luật Quản lý thuế từ ngày 05 tháng 12 năm 2020 đến hết ngày 31 tháng 12 năm 2022.</w:t>
      </w:r>
    </w:p>
    <w:p w:rsidR="00E76D5B" w:rsidRPr="00E76D5B" w:rsidRDefault="00E76D5B" w:rsidP="00BC4A3F">
      <w:pPr>
        <w:pStyle w:val="NormalWeb"/>
        <w:spacing w:before="0" w:beforeAutospacing="0" w:after="120" w:afterAutospacing="0"/>
        <w:ind w:firstLine="720"/>
        <w:jc w:val="both"/>
        <w:rPr>
          <w:sz w:val="20"/>
          <w:szCs w:val="20"/>
        </w:rPr>
      </w:pPr>
      <w:r w:rsidRPr="00E76D5B">
        <w:rPr>
          <w:rFonts w:ascii="Arial" w:hAnsi="Arial" w:cs="Arial"/>
          <w:sz w:val="20"/>
          <w:szCs w:val="20"/>
        </w:rPr>
        <w:t>Nhằm giúp người nộp thuế thực hiện tốt pháp luật thuế thu nhập cá nhân, Tổng cục Thuế đã xây dựng nội dung hướng dẫn khai, nộp thuế TNCN đối với thu nhập từ nhận cổ tức bằng cổ phiếu, gồm:</w:t>
      </w:r>
    </w:p>
    <w:p w:rsidR="00E76D5B" w:rsidRPr="00E76D5B" w:rsidRDefault="00E76D5B" w:rsidP="00BC4A3F">
      <w:pPr>
        <w:pStyle w:val="NormalWeb"/>
        <w:spacing w:before="0" w:beforeAutospacing="0" w:after="120" w:afterAutospacing="0"/>
        <w:ind w:firstLine="720"/>
        <w:jc w:val="both"/>
        <w:rPr>
          <w:sz w:val="20"/>
          <w:szCs w:val="20"/>
        </w:rPr>
      </w:pPr>
      <w:r w:rsidRPr="00E76D5B">
        <w:rPr>
          <w:rFonts w:ascii="Arial" w:hAnsi="Arial" w:cs="Arial"/>
          <w:sz w:val="20"/>
          <w:szCs w:val="20"/>
        </w:rPr>
        <w:t>- Phụ lục 01: Hướng dẫn cá nhân khai thuế TNCN trong trường hợp cá nhân nhận cổ tức bằng cổ phiếu.</w:t>
      </w:r>
    </w:p>
    <w:p w:rsidR="00E76D5B" w:rsidRPr="00E76D5B" w:rsidRDefault="00E76D5B" w:rsidP="00BC4A3F">
      <w:pPr>
        <w:pStyle w:val="NormalWeb"/>
        <w:spacing w:before="0" w:beforeAutospacing="0" w:after="120" w:afterAutospacing="0"/>
        <w:ind w:firstLine="720"/>
        <w:jc w:val="both"/>
        <w:rPr>
          <w:sz w:val="20"/>
          <w:szCs w:val="20"/>
        </w:rPr>
      </w:pPr>
      <w:r w:rsidRPr="00E76D5B">
        <w:rPr>
          <w:rFonts w:ascii="Arial" w:hAnsi="Arial" w:cs="Arial"/>
          <w:sz w:val="20"/>
          <w:szCs w:val="20"/>
        </w:rPr>
        <w:t>- Phụ lục 02: Hướng dẫn tổ chức khai thay, nộp thay thuế TNCN trong trường hợp cá nhân nhận cổ tức bằng cổ phiếu.</w:t>
      </w:r>
    </w:p>
    <w:p w:rsidR="00E76D5B" w:rsidRPr="00E76D5B" w:rsidRDefault="00E76D5B" w:rsidP="00BC4A3F">
      <w:pPr>
        <w:pStyle w:val="NormalWeb"/>
        <w:spacing w:before="0" w:beforeAutospacing="0" w:after="120" w:afterAutospacing="0"/>
        <w:ind w:firstLine="720"/>
        <w:jc w:val="both"/>
        <w:rPr>
          <w:sz w:val="20"/>
          <w:szCs w:val="20"/>
        </w:rPr>
      </w:pPr>
      <w:r w:rsidRPr="00E76D5B">
        <w:rPr>
          <w:rFonts w:ascii="Arial" w:hAnsi="Arial" w:cs="Arial"/>
          <w:sz w:val="20"/>
          <w:szCs w:val="20"/>
        </w:rPr>
        <w:t>Cục Thuế gửi kèm công văn này các tài liệu hướng dẫn nêu trên để người nộp thuế trên địa bàn tỉnh Quảng Ngãi biết và thực hiện./.</w:t>
      </w:r>
    </w:p>
    <w:tbl>
      <w:tblPr>
        <w:tblW w:w="5000" w:type="pct"/>
        <w:tblCellMar>
          <w:left w:w="0" w:type="dxa"/>
          <w:right w:w="0" w:type="dxa"/>
        </w:tblCellMar>
        <w:tblLook w:val="04A0" w:firstRow="1" w:lastRow="0" w:firstColumn="1" w:lastColumn="0" w:noHBand="0" w:noVBand="1"/>
      </w:tblPr>
      <w:tblGrid>
        <w:gridCol w:w="4510"/>
        <w:gridCol w:w="4510"/>
      </w:tblGrid>
      <w:tr w:rsidR="00E76D5B" w:rsidRPr="00076D3D" w:rsidTr="00BE078F">
        <w:tc>
          <w:tcPr>
            <w:tcW w:w="2500" w:type="pct"/>
            <w:shd w:val="clear" w:color="auto" w:fill="auto"/>
            <w:tcMar>
              <w:top w:w="0" w:type="dxa"/>
              <w:left w:w="108" w:type="dxa"/>
              <w:bottom w:w="0" w:type="dxa"/>
              <w:right w:w="108" w:type="dxa"/>
            </w:tcMar>
          </w:tcPr>
          <w:p w:rsidR="00E76D5B" w:rsidRDefault="00E76D5B" w:rsidP="00BE078F">
            <w:pPr>
              <w:pStyle w:val="NormalWeb"/>
              <w:spacing w:before="0" w:beforeAutospacing="0" w:after="0" w:afterAutospacing="0"/>
              <w:rPr>
                <w:rFonts w:ascii="Arial" w:hAnsi="Arial" w:cs="Arial"/>
                <w:sz w:val="20"/>
                <w:szCs w:val="20"/>
                <w:lang w:val="vi-VN"/>
              </w:rPr>
            </w:pPr>
            <w:r w:rsidRPr="00275688">
              <w:rPr>
                <w:rFonts w:ascii="Arial" w:hAnsi="Arial" w:cs="Arial"/>
                <w:b/>
                <w:bCs/>
                <w:i/>
                <w:iCs/>
                <w:sz w:val="20"/>
                <w:szCs w:val="20"/>
                <w:lang w:val="vi-VN"/>
              </w:rPr>
              <w:t>Nơi nhận:</w:t>
            </w:r>
            <w:r w:rsidRPr="00275688">
              <w:rPr>
                <w:rFonts w:ascii="Arial" w:hAnsi="Arial" w:cs="Arial"/>
                <w:b/>
                <w:bCs/>
                <w:i/>
                <w:iCs/>
                <w:sz w:val="20"/>
                <w:szCs w:val="20"/>
                <w:lang w:val="vi-VN"/>
              </w:rPr>
              <w:br/>
            </w:r>
            <w:r w:rsidRPr="00D83D0B">
              <w:rPr>
                <w:rFonts w:ascii="Arial" w:hAnsi="Arial" w:cs="Arial"/>
                <w:sz w:val="20"/>
                <w:szCs w:val="20"/>
                <w:lang w:val="vi-VN"/>
              </w:rPr>
              <w:t>- Như trên;</w:t>
            </w:r>
          </w:p>
          <w:p w:rsidR="00E76D5B" w:rsidRDefault="00E76D5B" w:rsidP="00BE078F">
            <w:pPr>
              <w:pStyle w:val="NormalWeb"/>
              <w:spacing w:before="0" w:beforeAutospacing="0" w:after="0" w:afterAutospacing="0"/>
              <w:rPr>
                <w:rFonts w:ascii="Arial" w:hAnsi="Arial" w:cs="Arial"/>
                <w:sz w:val="20"/>
                <w:szCs w:val="20"/>
              </w:rPr>
            </w:pPr>
            <w:r w:rsidRPr="00BF6560">
              <w:rPr>
                <w:rFonts w:ascii="Arial" w:hAnsi="Arial" w:cs="Arial"/>
                <w:sz w:val="20"/>
                <w:szCs w:val="20"/>
                <w:lang w:val="vi-VN"/>
              </w:rPr>
              <w:t xml:space="preserve">- </w:t>
            </w:r>
            <w:r w:rsidR="00ED1CFE">
              <w:rPr>
                <w:rFonts w:ascii="Arial" w:hAnsi="Arial" w:cs="Arial"/>
                <w:sz w:val="20"/>
                <w:szCs w:val="20"/>
              </w:rPr>
              <w:t>Ban Tuyên giáo tỉnh (phối hợp);</w:t>
            </w:r>
          </w:p>
          <w:p w:rsidR="00ED1CFE" w:rsidRPr="00ED1CFE" w:rsidRDefault="00ED1CFE" w:rsidP="00BE078F">
            <w:pPr>
              <w:pStyle w:val="NormalWeb"/>
              <w:spacing w:before="0" w:beforeAutospacing="0" w:after="0" w:afterAutospacing="0"/>
              <w:rPr>
                <w:rFonts w:ascii="Arial" w:hAnsi="Arial" w:cs="Arial"/>
                <w:sz w:val="20"/>
                <w:szCs w:val="20"/>
              </w:rPr>
            </w:pPr>
            <w:r>
              <w:rPr>
                <w:rFonts w:ascii="Arial" w:hAnsi="Arial" w:cs="Arial"/>
                <w:sz w:val="20"/>
                <w:szCs w:val="20"/>
              </w:rPr>
              <w:lastRenderedPageBreak/>
              <w:t>- Đài PTTH, Báo Quảng Ngãi (phối hợp);</w:t>
            </w:r>
          </w:p>
          <w:p w:rsidR="00E76D5B" w:rsidRDefault="00E76D5B" w:rsidP="00BE078F">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00ED1CFE">
              <w:rPr>
                <w:rFonts w:ascii="Arial" w:hAnsi="Arial" w:cs="Arial"/>
                <w:sz w:val="20"/>
                <w:szCs w:val="20"/>
              </w:rPr>
              <w:t>CCT các huyện, KV;</w:t>
            </w:r>
          </w:p>
          <w:p w:rsidR="00E76D5B" w:rsidRPr="001722F2" w:rsidRDefault="00ED1CFE" w:rsidP="00BE078F">
            <w:pPr>
              <w:pStyle w:val="NormalWeb"/>
              <w:spacing w:before="0" w:beforeAutospacing="0" w:after="0" w:afterAutospacing="0"/>
              <w:rPr>
                <w:rFonts w:ascii="Arial" w:hAnsi="Arial" w:cs="Arial"/>
                <w:sz w:val="20"/>
                <w:szCs w:val="20"/>
              </w:rPr>
            </w:pPr>
            <w:r>
              <w:rPr>
                <w:rFonts w:ascii="Arial" w:hAnsi="Arial" w:cs="Arial"/>
                <w:sz w:val="20"/>
                <w:szCs w:val="20"/>
              </w:rPr>
              <w:t>- BBT Trang TTĐT;</w:t>
            </w:r>
          </w:p>
          <w:p w:rsidR="00E76D5B" w:rsidRPr="00BF6560" w:rsidRDefault="00E76D5B" w:rsidP="00BE078F">
            <w:pPr>
              <w:pStyle w:val="NormalWeb"/>
              <w:spacing w:before="0" w:beforeAutospacing="0" w:after="0" w:afterAutospacing="0"/>
              <w:rPr>
                <w:rFonts w:ascii="Arial" w:hAnsi="Arial" w:cs="Arial"/>
                <w:sz w:val="20"/>
                <w:szCs w:val="20"/>
              </w:rPr>
            </w:pPr>
            <w:r w:rsidRPr="004A6A7F">
              <w:rPr>
                <w:rFonts w:ascii="Arial" w:hAnsi="Arial" w:cs="Arial"/>
                <w:sz w:val="20"/>
                <w:szCs w:val="20"/>
                <w:lang w:val="vi-VN"/>
              </w:rPr>
              <w:t>- Lưu: VT, TTHT</w:t>
            </w:r>
            <w:r>
              <w:rPr>
                <w:rFonts w:ascii="Arial" w:hAnsi="Arial" w:cs="Arial"/>
                <w:sz w:val="20"/>
                <w:szCs w:val="20"/>
              </w:rPr>
              <w:t>(</w:t>
            </w:r>
            <w:r w:rsidR="00ED1CFE">
              <w:rPr>
                <w:rFonts w:ascii="Arial" w:hAnsi="Arial" w:cs="Arial"/>
                <w:sz w:val="20"/>
                <w:szCs w:val="20"/>
              </w:rPr>
              <w:t>pttngan</w:t>
            </w:r>
            <w:r>
              <w:rPr>
                <w:rFonts w:ascii="Arial" w:hAnsi="Arial" w:cs="Arial"/>
                <w:sz w:val="20"/>
                <w:szCs w:val="20"/>
              </w:rPr>
              <w:t>)</w:t>
            </w:r>
            <w:r w:rsidRPr="004A6A7F">
              <w:rPr>
                <w:rFonts w:ascii="Arial" w:hAnsi="Arial" w:cs="Arial"/>
                <w:sz w:val="20"/>
                <w:szCs w:val="20"/>
                <w:lang w:val="vi-VN"/>
              </w:rPr>
              <w:t>.</w:t>
            </w:r>
          </w:p>
          <w:p w:rsidR="00E76D5B" w:rsidRPr="006050C3" w:rsidRDefault="00E76D5B" w:rsidP="00BE078F">
            <w:pPr>
              <w:pStyle w:val="NormalWeb"/>
              <w:spacing w:before="0" w:beforeAutospacing="0" w:after="0" w:afterAutospacing="0"/>
              <w:rPr>
                <w:rFonts w:ascii="Arial" w:hAnsi="Arial" w:cs="Arial"/>
                <w:sz w:val="20"/>
                <w:szCs w:val="20"/>
                <w:lang w:val="vi-VN"/>
              </w:rPr>
            </w:pPr>
          </w:p>
        </w:tc>
        <w:tc>
          <w:tcPr>
            <w:tcW w:w="2500" w:type="pct"/>
            <w:shd w:val="clear" w:color="auto" w:fill="auto"/>
            <w:tcMar>
              <w:top w:w="0" w:type="dxa"/>
              <w:left w:w="108" w:type="dxa"/>
              <w:bottom w:w="0" w:type="dxa"/>
              <w:right w:w="108" w:type="dxa"/>
            </w:tcMar>
          </w:tcPr>
          <w:p w:rsidR="00E76D5B" w:rsidRDefault="00E76D5B" w:rsidP="00BE078F">
            <w:pPr>
              <w:jc w:val="center"/>
              <w:rPr>
                <w:rFonts w:ascii="Arial" w:hAnsi="Arial" w:cs="Arial"/>
                <w:b/>
                <w:bCs/>
                <w:sz w:val="20"/>
                <w:szCs w:val="20"/>
              </w:rPr>
            </w:pPr>
            <w:r w:rsidRPr="000932ED">
              <w:rPr>
                <w:rFonts w:ascii="Arial" w:hAnsi="Arial" w:cs="Arial"/>
                <w:b/>
                <w:bCs/>
                <w:sz w:val="20"/>
                <w:szCs w:val="20"/>
              </w:rPr>
              <w:lastRenderedPageBreak/>
              <w:t xml:space="preserve">KT. </w:t>
            </w:r>
            <w:r w:rsidRPr="00A858DB">
              <w:rPr>
                <w:rFonts w:ascii="Arial" w:hAnsi="Arial" w:cs="Arial"/>
                <w:b/>
                <w:bCs/>
                <w:sz w:val="20"/>
                <w:szCs w:val="20"/>
              </w:rPr>
              <w:t xml:space="preserve">CỤC </w:t>
            </w:r>
            <w:r w:rsidRPr="00076D3D">
              <w:rPr>
                <w:rFonts w:ascii="Arial" w:hAnsi="Arial" w:cs="Arial"/>
                <w:b/>
                <w:bCs/>
                <w:sz w:val="20"/>
                <w:szCs w:val="20"/>
              </w:rPr>
              <w:t>TRƯỞNG</w:t>
            </w:r>
          </w:p>
          <w:p w:rsidR="00E76D5B" w:rsidRPr="00ED1CFE" w:rsidRDefault="00E76D5B" w:rsidP="00ED1CFE">
            <w:pPr>
              <w:jc w:val="center"/>
              <w:rPr>
                <w:rFonts w:ascii="Arial" w:hAnsi="Arial" w:cs="Arial"/>
                <w:b/>
                <w:bCs/>
                <w:sz w:val="20"/>
                <w:szCs w:val="20"/>
              </w:rPr>
            </w:pPr>
            <w:r w:rsidRPr="000932ED">
              <w:rPr>
                <w:rFonts w:ascii="Arial" w:hAnsi="Arial" w:cs="Arial"/>
                <w:b/>
                <w:bCs/>
                <w:sz w:val="20"/>
                <w:szCs w:val="20"/>
              </w:rPr>
              <w:t>PHÓ CỤC TRƯỞNG</w:t>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lastRenderedPageBreak/>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00ED1CFE" w:rsidRPr="00ED1CFE">
              <w:rPr>
                <w:rFonts w:ascii="Arial" w:hAnsi="Arial" w:cs="Arial"/>
                <w:b/>
                <w:bCs/>
                <w:sz w:val="20"/>
                <w:szCs w:val="20"/>
              </w:rPr>
              <w:t>Võ Hùng</w:t>
            </w:r>
          </w:p>
        </w:tc>
      </w:tr>
      <w:bookmarkEnd w:id="0"/>
    </w:tbl>
    <w:p w:rsidR="00894A3F" w:rsidRPr="00E76D5B" w:rsidRDefault="00894A3F" w:rsidP="00E76D5B">
      <w:pPr>
        <w:jc w:val="both"/>
        <w:rPr>
          <w:color w:val="auto"/>
          <w:sz w:val="20"/>
          <w:szCs w:val="20"/>
        </w:rPr>
      </w:pPr>
    </w:p>
    <w:sectPr w:rsidR="00894A3F" w:rsidRPr="00E76D5B" w:rsidSect="00E76D5B">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7BD" w:rsidRDefault="002027BD">
      <w:r>
        <w:separator/>
      </w:r>
    </w:p>
  </w:endnote>
  <w:endnote w:type="continuationSeparator" w:id="0">
    <w:p w:rsidR="002027BD" w:rsidRDefault="0020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7BD" w:rsidRDefault="002027BD"/>
  </w:footnote>
  <w:footnote w:type="continuationSeparator" w:id="0">
    <w:p w:rsidR="002027BD" w:rsidRDefault="002027B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E7E89"/>
    <w:multiLevelType w:val="multilevel"/>
    <w:tmpl w:val="3E0A6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3F"/>
    <w:rsid w:val="002027BD"/>
    <w:rsid w:val="00894A3F"/>
    <w:rsid w:val="00BC4A3F"/>
    <w:rsid w:val="00BE4B26"/>
    <w:rsid w:val="00E76D5B"/>
    <w:rsid w:val="00ED1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305C"/>
  <w15:docId w15:val="{58887E00-8FCC-4D73-94CA-5EDD0E3D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Vnbnnidung20">
    <w:name w:val="Văn bản nội dung (2)"/>
    <w:basedOn w:val="Normal"/>
    <w:link w:val="Vnbnnidung2"/>
    <w:pPr>
      <w:spacing w:after="40"/>
      <w:ind w:firstLine="320"/>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after="80"/>
      <w:ind w:firstLine="400"/>
    </w:pPr>
    <w:rPr>
      <w:rFonts w:ascii="Times New Roman" w:eastAsia="Times New Roman" w:hAnsi="Times New Roman" w:cs="Times New Roman"/>
      <w:sz w:val="28"/>
      <w:szCs w:val="28"/>
    </w:rPr>
  </w:style>
  <w:style w:type="paragraph" w:styleId="NormalWeb">
    <w:name w:val="Normal (Web)"/>
    <w:basedOn w:val="Normal"/>
    <w:uiPriority w:val="99"/>
    <w:semiHidden/>
    <w:unhideWhenUsed/>
    <w:rsid w:val="00E76D5B"/>
    <w:pPr>
      <w:widowControl/>
      <w:spacing w:before="100" w:beforeAutospacing="1" w:after="100" w:afterAutospacing="1"/>
    </w:pPr>
    <w:rPr>
      <w:rFonts w:ascii="Times New Roman" w:eastAsia="Times New Roman" w:hAnsi="Times New Roman" w:cs="Times New Roman"/>
      <w:color w:val="auto"/>
      <w:lang w:val="en-US" w:eastAsia="zh-CN" w:bidi="ar-SA"/>
    </w:rPr>
  </w:style>
  <w:style w:type="character" w:customStyle="1" w:styleId="apple-tab-span">
    <w:name w:val="apple-tab-span"/>
    <w:basedOn w:val="DefaultParagraphFont"/>
    <w:rsid w:val="00E76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69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CỤC THUẾ TỈNH QUẢNG NGÃI</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CỤC THUẾ TỈNH QUẢNG NGÃI</dc:title>
  <dc:subject/>
  <dc:creator>Microsoft Cop.</dc:creator>
  <cp:keywords/>
  <cp:lastModifiedBy>Nguyen Thi Thoa</cp:lastModifiedBy>
  <cp:revision>4</cp:revision>
  <dcterms:created xsi:type="dcterms:W3CDTF">2024-06-06T03:39:00Z</dcterms:created>
  <dcterms:modified xsi:type="dcterms:W3CDTF">2024-06-06T03:56:00Z</dcterms:modified>
</cp:coreProperties>
</file>