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0"/>
        <w:gridCol w:w="5610"/>
      </w:tblGrid>
      <w:tr w:rsidR="008F7AEB" w:rsidRPr="00076D3D" w:rsidTr="00C0762E">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8F7AEB" w:rsidRPr="00A858DB" w:rsidRDefault="008F7AEB" w:rsidP="004F7F61">
            <w:pPr>
              <w:jc w:val="center"/>
              <w:rPr>
                <w:rFonts w:ascii="Arial" w:hAnsi="Arial" w:cs="Arial"/>
                <w:bCs/>
                <w:sz w:val="20"/>
                <w:szCs w:val="20"/>
                <w:lang w:val="en-US"/>
              </w:rPr>
            </w:pPr>
            <w:r w:rsidRPr="00A858DB">
              <w:rPr>
                <w:rFonts w:ascii="Arial" w:hAnsi="Arial" w:cs="Arial"/>
                <w:bCs/>
                <w:sz w:val="20"/>
                <w:szCs w:val="20"/>
                <w:lang w:val="en-US"/>
              </w:rPr>
              <w:t>TỔNG CỤC THUẾ</w:t>
            </w:r>
          </w:p>
          <w:p w:rsidR="008F7AEB" w:rsidRPr="00076D3D" w:rsidRDefault="008F7AEB" w:rsidP="004F7F61">
            <w:pPr>
              <w:jc w:val="center"/>
              <w:rPr>
                <w:rFonts w:ascii="Arial" w:hAnsi="Arial" w:cs="Arial"/>
                <w:sz w:val="20"/>
                <w:szCs w:val="20"/>
              </w:rPr>
            </w:pPr>
            <w:r>
              <w:rPr>
                <w:rFonts w:ascii="Arial" w:hAnsi="Arial" w:cs="Arial"/>
                <w:b/>
                <w:bCs/>
                <w:sz w:val="20"/>
                <w:szCs w:val="20"/>
                <w:lang w:val="en-US"/>
              </w:rPr>
              <w:t>CỤC THUẾ T</w:t>
            </w:r>
            <w:r w:rsidR="00230665">
              <w:rPr>
                <w:rFonts w:ascii="Arial" w:hAnsi="Arial" w:cs="Arial"/>
                <w:b/>
                <w:bCs/>
                <w:sz w:val="20"/>
                <w:szCs w:val="20"/>
                <w:lang w:val="en-US"/>
              </w:rPr>
              <w:t>P HÀ NỘI</w:t>
            </w:r>
            <w:r w:rsidRPr="00076D3D">
              <w:rPr>
                <w:rFonts w:ascii="Arial" w:hAnsi="Arial" w:cs="Arial"/>
                <w:b/>
                <w:bCs/>
                <w:sz w:val="20"/>
                <w:szCs w:val="20"/>
              </w:rPr>
              <w:br/>
            </w:r>
            <w:r w:rsidRPr="00076D3D">
              <w:rPr>
                <w:rFonts w:ascii="Arial" w:hAnsi="Arial" w:cs="Arial"/>
                <w:bCs/>
                <w:sz w:val="20"/>
                <w:szCs w:val="20"/>
                <w:vertAlign w:val="superscript"/>
              </w:rPr>
              <w:t>________________</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8F7AEB" w:rsidRPr="00076D3D" w:rsidRDefault="008F7AEB" w:rsidP="004F7F61">
            <w:pPr>
              <w:jc w:val="center"/>
              <w:rPr>
                <w:rFonts w:ascii="Arial" w:hAnsi="Arial" w:cs="Arial"/>
                <w:sz w:val="20"/>
                <w:szCs w:val="20"/>
              </w:rPr>
            </w:pPr>
            <w:r w:rsidRPr="00076D3D">
              <w:rPr>
                <w:rFonts w:ascii="Arial" w:hAnsi="Arial" w:cs="Arial"/>
                <w:b/>
                <w:bCs/>
                <w:sz w:val="20"/>
                <w:szCs w:val="20"/>
              </w:rPr>
              <w:t>CỘNG HÒA XÃ HỘI CHỦ NGHĨA VIỆT NAM</w:t>
            </w:r>
            <w:r w:rsidRPr="00076D3D">
              <w:rPr>
                <w:rFonts w:ascii="Arial" w:hAnsi="Arial" w:cs="Arial"/>
                <w:b/>
                <w:bCs/>
                <w:sz w:val="20"/>
                <w:szCs w:val="20"/>
              </w:rPr>
              <w:br/>
              <w:t>Độc lập - Tự do - Hạnh phúc</w:t>
            </w:r>
            <w:r w:rsidRPr="00076D3D">
              <w:rPr>
                <w:rFonts w:ascii="Arial" w:hAnsi="Arial" w:cs="Arial"/>
                <w:b/>
                <w:bCs/>
                <w:sz w:val="20"/>
                <w:szCs w:val="20"/>
              </w:rPr>
              <w:br/>
            </w:r>
            <w:r w:rsidRPr="00076D3D">
              <w:rPr>
                <w:rFonts w:ascii="Arial" w:hAnsi="Arial" w:cs="Arial"/>
                <w:bCs/>
                <w:sz w:val="20"/>
                <w:szCs w:val="20"/>
                <w:vertAlign w:val="superscript"/>
              </w:rPr>
              <w:t>________________________</w:t>
            </w:r>
          </w:p>
        </w:tc>
      </w:tr>
      <w:tr w:rsidR="008F7AEB" w:rsidRPr="00076D3D" w:rsidTr="00C0762E">
        <w:tblPrEx>
          <w:tblBorders>
            <w:top w:val="none" w:sz="0" w:space="0" w:color="auto"/>
            <w:bottom w:val="none" w:sz="0" w:space="0" w:color="auto"/>
            <w:insideH w:val="none" w:sz="0" w:space="0" w:color="auto"/>
            <w:insideV w:val="none" w:sz="0" w:space="0" w:color="auto"/>
          </w:tblBorders>
        </w:tblPrEx>
        <w:trPr>
          <w:trHeight w:val="166"/>
        </w:trPr>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8F7AEB" w:rsidRPr="00230665" w:rsidRDefault="008F7AEB" w:rsidP="004F7F61">
            <w:pPr>
              <w:jc w:val="center"/>
              <w:rPr>
                <w:rFonts w:ascii="Arial" w:hAnsi="Arial" w:cs="Arial"/>
                <w:sz w:val="20"/>
                <w:szCs w:val="20"/>
              </w:rPr>
            </w:pPr>
            <w:bookmarkStart w:id="0" w:name="loai_1"/>
            <w:r w:rsidRPr="00076D3D">
              <w:rPr>
                <w:rFonts w:ascii="Arial" w:hAnsi="Arial" w:cs="Arial"/>
                <w:sz w:val="20"/>
                <w:szCs w:val="20"/>
              </w:rPr>
              <w:t>Số</w:t>
            </w:r>
            <w:r>
              <w:rPr>
                <w:rFonts w:ascii="Arial" w:hAnsi="Arial" w:cs="Arial"/>
                <w:sz w:val="20"/>
                <w:szCs w:val="20"/>
              </w:rPr>
              <w:t>:</w:t>
            </w:r>
            <w:r w:rsidRPr="00FC7926">
              <w:rPr>
                <w:rFonts w:ascii="Arial" w:hAnsi="Arial" w:cs="Arial"/>
                <w:sz w:val="20"/>
                <w:szCs w:val="20"/>
              </w:rPr>
              <w:t xml:space="preserve"> </w:t>
            </w:r>
            <w:bookmarkEnd w:id="0"/>
            <w:r w:rsidR="00230665" w:rsidRPr="00230665">
              <w:rPr>
                <w:rFonts w:ascii="Arial" w:hAnsi="Arial" w:cs="Arial"/>
                <w:sz w:val="20"/>
                <w:szCs w:val="20"/>
              </w:rPr>
              <w:t>32970</w:t>
            </w:r>
            <w:r w:rsidRPr="00FC7926">
              <w:rPr>
                <w:rFonts w:ascii="Arial" w:hAnsi="Arial" w:cs="Arial"/>
                <w:sz w:val="20"/>
                <w:szCs w:val="20"/>
              </w:rPr>
              <w:t>/</w:t>
            </w:r>
            <w:r w:rsidR="00230665" w:rsidRPr="00230665">
              <w:rPr>
                <w:rFonts w:ascii="Arial" w:hAnsi="Arial" w:cs="Arial"/>
                <w:sz w:val="20"/>
                <w:szCs w:val="20"/>
              </w:rPr>
              <w:t>CTHN-TTHT</w:t>
            </w:r>
          </w:p>
          <w:p w:rsidR="008F7AEB" w:rsidRPr="00230665" w:rsidRDefault="008F7AEB" w:rsidP="004F7F61">
            <w:pPr>
              <w:pStyle w:val="Vnbnnidung20"/>
              <w:jc w:val="center"/>
              <w:rPr>
                <w:rFonts w:ascii="Arial" w:hAnsi="Arial" w:cs="Arial"/>
                <w:sz w:val="20"/>
                <w:szCs w:val="20"/>
              </w:rPr>
            </w:pPr>
            <w:r w:rsidRPr="00FC7926">
              <w:rPr>
                <w:rFonts w:ascii="Arial" w:hAnsi="Arial" w:cs="Arial"/>
                <w:sz w:val="20"/>
                <w:szCs w:val="20"/>
              </w:rPr>
              <w:t xml:space="preserve">V/v </w:t>
            </w:r>
            <w:r w:rsidR="00230665" w:rsidRPr="00230665">
              <w:rPr>
                <w:rFonts w:ascii="Arial" w:hAnsi="Arial" w:cs="Arial"/>
                <w:sz w:val="20"/>
                <w:szCs w:val="20"/>
              </w:rPr>
              <w:t>thuế TNCN đối với các khoản thanh toán cho người lao động sau nghỉ việc</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8F7AEB" w:rsidRPr="008828DA" w:rsidRDefault="008828DA" w:rsidP="004F7F61">
            <w:pPr>
              <w:jc w:val="center"/>
              <w:rPr>
                <w:rFonts w:ascii="Arial" w:hAnsi="Arial" w:cs="Arial"/>
                <w:sz w:val="20"/>
                <w:szCs w:val="20"/>
              </w:rPr>
            </w:pPr>
            <w:r w:rsidRPr="008828DA">
              <w:rPr>
                <w:rFonts w:ascii="Arial" w:hAnsi="Arial" w:cs="Arial"/>
                <w:i/>
                <w:iCs/>
                <w:sz w:val="20"/>
                <w:szCs w:val="20"/>
              </w:rPr>
              <w:t>Hà Nội</w:t>
            </w:r>
            <w:r w:rsidR="008F7AEB">
              <w:rPr>
                <w:rFonts w:ascii="Arial" w:hAnsi="Arial" w:cs="Arial"/>
                <w:i/>
                <w:iCs/>
                <w:sz w:val="20"/>
                <w:szCs w:val="20"/>
              </w:rPr>
              <w:t>, ngày</w:t>
            </w:r>
            <w:r w:rsidR="008F7AEB" w:rsidRPr="00C86261">
              <w:rPr>
                <w:rFonts w:ascii="Arial" w:hAnsi="Arial" w:cs="Arial"/>
                <w:i/>
                <w:iCs/>
                <w:sz w:val="20"/>
                <w:szCs w:val="20"/>
              </w:rPr>
              <w:t xml:space="preserve"> </w:t>
            </w:r>
            <w:r w:rsidRPr="008828DA">
              <w:rPr>
                <w:rFonts w:ascii="Arial" w:hAnsi="Arial" w:cs="Arial"/>
                <w:i/>
                <w:iCs/>
                <w:sz w:val="20"/>
                <w:szCs w:val="20"/>
              </w:rPr>
              <w:t>31</w:t>
            </w:r>
            <w:r w:rsidR="008F7AEB" w:rsidRPr="005E2C81">
              <w:rPr>
                <w:rFonts w:ascii="Arial" w:hAnsi="Arial" w:cs="Arial"/>
                <w:i/>
                <w:iCs/>
                <w:sz w:val="20"/>
                <w:szCs w:val="20"/>
              </w:rPr>
              <w:t xml:space="preserve"> tháng </w:t>
            </w:r>
            <w:r w:rsidRPr="008828DA">
              <w:rPr>
                <w:rFonts w:ascii="Arial" w:hAnsi="Arial" w:cs="Arial"/>
                <w:i/>
                <w:iCs/>
                <w:sz w:val="20"/>
                <w:szCs w:val="20"/>
              </w:rPr>
              <w:t>5</w:t>
            </w:r>
            <w:r w:rsidR="008F7AEB" w:rsidRPr="005E2C81">
              <w:rPr>
                <w:rFonts w:ascii="Arial" w:hAnsi="Arial" w:cs="Arial"/>
                <w:i/>
                <w:iCs/>
                <w:sz w:val="20"/>
                <w:szCs w:val="20"/>
              </w:rPr>
              <w:t xml:space="preserve"> năm </w:t>
            </w:r>
            <w:r w:rsidR="008F7AEB" w:rsidRPr="008828DA">
              <w:rPr>
                <w:rFonts w:ascii="Arial" w:hAnsi="Arial" w:cs="Arial"/>
                <w:i/>
                <w:iCs/>
                <w:sz w:val="20"/>
                <w:szCs w:val="20"/>
              </w:rPr>
              <w:t>20</w:t>
            </w:r>
            <w:r w:rsidRPr="008828DA">
              <w:rPr>
                <w:rFonts w:ascii="Arial" w:hAnsi="Arial" w:cs="Arial"/>
                <w:i/>
                <w:iCs/>
                <w:sz w:val="20"/>
                <w:szCs w:val="20"/>
              </w:rPr>
              <w:t>24</w:t>
            </w:r>
          </w:p>
        </w:tc>
      </w:tr>
    </w:tbl>
    <w:p w:rsidR="00230665" w:rsidRDefault="00230665" w:rsidP="004F7F61">
      <w:pPr>
        <w:widowControl/>
        <w:jc w:val="center"/>
        <w:rPr>
          <w:rFonts w:ascii="Arial" w:eastAsia="Times New Roman" w:hAnsi="Arial" w:cs="Arial"/>
          <w:color w:val="auto"/>
          <w:sz w:val="20"/>
          <w:szCs w:val="20"/>
          <w:lang w:eastAsia="zh-CN" w:bidi="ar-SA"/>
        </w:rPr>
      </w:pPr>
    </w:p>
    <w:p w:rsidR="008828DA" w:rsidRPr="008828DA" w:rsidRDefault="008828DA" w:rsidP="004F7F61">
      <w:pPr>
        <w:widowControl/>
        <w:jc w:val="center"/>
        <w:rPr>
          <w:rFonts w:ascii="Arial" w:eastAsia="Times New Roman" w:hAnsi="Arial" w:cs="Arial"/>
          <w:color w:val="auto"/>
          <w:sz w:val="20"/>
          <w:szCs w:val="20"/>
          <w:lang w:val="en-US" w:eastAsia="zh-CN" w:bidi="ar-SA"/>
        </w:rPr>
      </w:pPr>
      <w:r>
        <w:rPr>
          <w:rFonts w:ascii="Arial" w:eastAsia="Times New Roman" w:hAnsi="Arial" w:cs="Arial"/>
          <w:color w:val="auto"/>
          <w:sz w:val="20"/>
          <w:szCs w:val="20"/>
          <w:lang w:val="en-US" w:eastAsia="zh-CN" w:bidi="ar-SA"/>
        </w:rPr>
        <w:t>Kính gửi: Công ty TNHH Kennametal Việt Nam</w:t>
      </w:r>
    </w:p>
    <w:p w:rsidR="008828DA" w:rsidRDefault="008F7AEB" w:rsidP="004F7F61">
      <w:pPr>
        <w:widowControl/>
        <w:jc w:val="center"/>
        <w:rPr>
          <w:rFonts w:ascii="Arial" w:eastAsia="Times New Roman" w:hAnsi="Arial" w:cs="Arial"/>
          <w:i/>
          <w:color w:val="auto"/>
          <w:sz w:val="20"/>
          <w:szCs w:val="20"/>
          <w:lang w:eastAsia="zh-CN" w:bidi="ar-SA"/>
        </w:rPr>
      </w:pPr>
      <w:r w:rsidRPr="008F7AEB">
        <w:rPr>
          <w:rFonts w:ascii="Arial" w:eastAsia="Times New Roman" w:hAnsi="Arial" w:cs="Arial"/>
          <w:i/>
          <w:color w:val="auto"/>
          <w:sz w:val="20"/>
          <w:szCs w:val="20"/>
          <w:lang w:eastAsia="zh-CN" w:bidi="ar-SA"/>
        </w:rPr>
        <w:t xml:space="preserve">(Địa chỉ: Lô CN1-12B-2, Khu Công nghiệp công nghệ cao 1, </w:t>
      </w:r>
    </w:p>
    <w:p w:rsidR="008828DA" w:rsidRDefault="008F7AEB" w:rsidP="004F7F61">
      <w:pPr>
        <w:widowControl/>
        <w:jc w:val="center"/>
        <w:rPr>
          <w:rFonts w:ascii="Arial" w:eastAsia="Times New Roman" w:hAnsi="Arial" w:cs="Arial"/>
          <w:i/>
          <w:color w:val="auto"/>
          <w:sz w:val="20"/>
          <w:szCs w:val="20"/>
          <w:lang w:eastAsia="zh-CN" w:bidi="ar-SA"/>
        </w:rPr>
      </w:pPr>
      <w:r w:rsidRPr="008F7AEB">
        <w:rPr>
          <w:rFonts w:ascii="Arial" w:eastAsia="Times New Roman" w:hAnsi="Arial" w:cs="Arial"/>
          <w:i/>
          <w:color w:val="auto"/>
          <w:sz w:val="20"/>
          <w:szCs w:val="20"/>
          <w:lang w:eastAsia="zh-CN" w:bidi="ar-SA"/>
        </w:rPr>
        <w:t>Khu Công nghệ cao Hòa</w:t>
      </w:r>
      <w:r w:rsidR="008828DA" w:rsidRPr="008828DA">
        <w:rPr>
          <w:rFonts w:ascii="Arial" w:eastAsia="Times New Roman" w:hAnsi="Arial" w:cs="Arial"/>
          <w:i/>
          <w:color w:val="auto"/>
          <w:sz w:val="20"/>
          <w:szCs w:val="20"/>
          <w:lang w:eastAsia="zh-CN" w:bidi="ar-SA"/>
        </w:rPr>
        <w:t xml:space="preserve"> </w:t>
      </w:r>
      <w:r w:rsidR="008828DA">
        <w:rPr>
          <w:rFonts w:ascii="Arial" w:eastAsia="Times New Roman" w:hAnsi="Arial" w:cs="Arial"/>
          <w:i/>
          <w:color w:val="auto"/>
          <w:sz w:val="20"/>
          <w:szCs w:val="20"/>
          <w:lang w:eastAsia="zh-CN" w:bidi="ar-SA"/>
        </w:rPr>
        <w:t>Lạc, xã</w:t>
      </w:r>
      <w:r w:rsidR="004F7F61" w:rsidRPr="008828DA">
        <w:rPr>
          <w:rFonts w:ascii="Arial" w:eastAsia="Times New Roman" w:hAnsi="Arial" w:cs="Arial"/>
          <w:i/>
          <w:color w:val="auto"/>
          <w:sz w:val="20"/>
          <w:szCs w:val="20"/>
          <w:lang w:eastAsia="zh-CN" w:bidi="ar-SA"/>
        </w:rPr>
        <w:t xml:space="preserve"> </w:t>
      </w:r>
      <w:r w:rsidRPr="008F7AEB">
        <w:rPr>
          <w:rFonts w:ascii="Arial" w:eastAsia="Times New Roman" w:hAnsi="Arial" w:cs="Arial"/>
          <w:i/>
          <w:color w:val="auto"/>
          <w:sz w:val="20"/>
          <w:szCs w:val="20"/>
          <w:lang w:eastAsia="zh-CN" w:bidi="ar-SA"/>
        </w:rPr>
        <w:t xml:space="preserve">Hạ Bằng, Huyện Thạch Thất, TP Hà Nội; </w:t>
      </w:r>
    </w:p>
    <w:p w:rsidR="008F7AEB" w:rsidRPr="008F7AEB" w:rsidRDefault="008F7AEB" w:rsidP="004F7F61">
      <w:pPr>
        <w:widowControl/>
        <w:jc w:val="center"/>
        <w:rPr>
          <w:rFonts w:ascii="Arial" w:eastAsia="Times New Roman" w:hAnsi="Arial" w:cs="Arial"/>
          <w:i/>
          <w:color w:val="auto"/>
          <w:sz w:val="20"/>
          <w:szCs w:val="20"/>
          <w:lang w:eastAsia="zh-CN" w:bidi="ar-SA"/>
        </w:rPr>
      </w:pPr>
      <w:r w:rsidRPr="008F7AEB">
        <w:rPr>
          <w:rFonts w:ascii="Arial" w:eastAsia="Times New Roman" w:hAnsi="Arial" w:cs="Arial"/>
          <w:i/>
          <w:color w:val="auto"/>
          <w:sz w:val="20"/>
          <w:szCs w:val="20"/>
          <w:lang w:eastAsia="zh-CN" w:bidi="ar-SA"/>
        </w:rPr>
        <w:t>MST: 0108227951)</w:t>
      </w:r>
    </w:p>
    <w:p w:rsidR="00230665" w:rsidRPr="008828DA" w:rsidRDefault="00230665" w:rsidP="004F7F61">
      <w:pPr>
        <w:widowControl/>
        <w:spacing w:after="120"/>
        <w:ind w:firstLine="720"/>
        <w:jc w:val="both"/>
        <w:rPr>
          <w:rFonts w:ascii="Arial" w:eastAsia="Times New Roman" w:hAnsi="Arial" w:cs="Arial"/>
          <w:color w:val="auto"/>
          <w:sz w:val="20"/>
          <w:szCs w:val="20"/>
          <w:lang w:eastAsia="zh-CN" w:bidi="ar-SA"/>
        </w:rPr>
      </w:pPr>
    </w:p>
    <w:p w:rsidR="008F7AEB" w:rsidRPr="008F7AEB" w:rsidRDefault="008F7AEB" w:rsidP="004F7F61">
      <w:pPr>
        <w:widowControl/>
        <w:spacing w:after="120"/>
        <w:ind w:firstLine="720"/>
        <w:jc w:val="both"/>
        <w:rPr>
          <w:rFonts w:ascii="Arial" w:eastAsia="Times New Roman" w:hAnsi="Arial" w:cs="Arial"/>
          <w:color w:val="auto"/>
          <w:sz w:val="20"/>
          <w:szCs w:val="20"/>
          <w:lang w:eastAsia="zh-CN" w:bidi="ar-SA"/>
        </w:rPr>
      </w:pPr>
      <w:r w:rsidRPr="008F7AEB">
        <w:rPr>
          <w:rFonts w:ascii="Arial" w:eastAsia="Times New Roman" w:hAnsi="Arial" w:cs="Arial"/>
          <w:color w:val="auto"/>
          <w:sz w:val="20"/>
          <w:szCs w:val="20"/>
          <w:lang w:eastAsia="zh-CN" w:bidi="ar-SA"/>
        </w:rPr>
        <w:t>Trả lời văn bản số K</w:t>
      </w:r>
      <w:r w:rsidR="008828DA" w:rsidRPr="008828DA">
        <w:rPr>
          <w:rFonts w:ascii="Arial" w:eastAsia="Times New Roman" w:hAnsi="Arial" w:cs="Arial"/>
          <w:color w:val="auto"/>
          <w:sz w:val="20"/>
          <w:szCs w:val="20"/>
          <w:lang w:eastAsia="zh-CN" w:bidi="ar-SA"/>
        </w:rPr>
        <w:t>M</w:t>
      </w:r>
      <w:r w:rsidRPr="008F7AEB">
        <w:rPr>
          <w:rFonts w:ascii="Arial" w:eastAsia="Times New Roman" w:hAnsi="Arial" w:cs="Arial"/>
          <w:color w:val="auto"/>
          <w:sz w:val="20"/>
          <w:szCs w:val="20"/>
          <w:lang w:eastAsia="zh-CN" w:bidi="ar-SA"/>
        </w:rPr>
        <w:t>TVN/09052024 ngày 09/5/2024 của Công ty TNHH Kennametal Việt Nam (sau đây gọi tắt là Công ty) hỏi về thuế TNCN đối với cá</w:t>
      </w:r>
      <w:r w:rsidR="008828DA">
        <w:rPr>
          <w:rFonts w:ascii="Arial" w:eastAsia="Times New Roman" w:hAnsi="Arial" w:cs="Arial"/>
          <w:color w:val="auto"/>
          <w:sz w:val="20"/>
          <w:szCs w:val="20"/>
          <w:lang w:eastAsia="zh-CN" w:bidi="ar-SA"/>
        </w:rPr>
        <w:t>c khoản thanh toán cho người lao</w:t>
      </w:r>
      <w:r w:rsidRPr="008F7AEB">
        <w:rPr>
          <w:rFonts w:ascii="Arial" w:eastAsia="Times New Roman" w:hAnsi="Arial" w:cs="Arial"/>
          <w:color w:val="auto"/>
          <w:sz w:val="20"/>
          <w:szCs w:val="20"/>
          <w:lang w:eastAsia="zh-CN" w:bidi="ar-SA"/>
        </w:rPr>
        <w:t xml:space="preserve"> động sau nghỉ việc, Cục Thuế TP Hà Nội có ý kiến như sau:</w:t>
      </w:r>
    </w:p>
    <w:p w:rsidR="008F7AEB" w:rsidRPr="008F7AEB" w:rsidRDefault="008F7AEB" w:rsidP="004F7F61">
      <w:pPr>
        <w:widowControl/>
        <w:spacing w:after="120"/>
        <w:ind w:firstLine="720"/>
        <w:jc w:val="both"/>
        <w:rPr>
          <w:rFonts w:ascii="Arial" w:eastAsia="Times New Roman" w:hAnsi="Arial" w:cs="Arial"/>
          <w:color w:val="auto"/>
          <w:sz w:val="20"/>
          <w:szCs w:val="20"/>
          <w:lang w:eastAsia="zh-CN" w:bidi="ar-SA"/>
        </w:rPr>
      </w:pPr>
      <w:r w:rsidRPr="008F7AEB">
        <w:rPr>
          <w:rFonts w:ascii="Arial" w:eastAsia="Times New Roman" w:hAnsi="Arial" w:cs="Arial"/>
          <w:color w:val="auto"/>
          <w:sz w:val="20"/>
          <w:szCs w:val="20"/>
          <w:lang w:eastAsia="zh-CN" w:bidi="ar-SA"/>
        </w:rPr>
        <w:t>- Căn cứ điểm d khoản 6 Điều 8 Nghị định số 126/2020/NĐ-CP ngày 19/10/2020 hướng dẫn Luật Quản lý thuế, quy địn</w:t>
      </w:r>
      <w:r w:rsidR="005D24FB" w:rsidRPr="005D24FB">
        <w:rPr>
          <w:rFonts w:ascii="Arial" w:eastAsia="Times New Roman" w:hAnsi="Arial" w:cs="Arial"/>
          <w:color w:val="auto"/>
          <w:sz w:val="20"/>
          <w:szCs w:val="20"/>
          <w:lang w:eastAsia="zh-CN" w:bidi="ar-SA"/>
        </w:rPr>
        <w:t>h các loại thuế khai theo thá</w:t>
      </w:r>
      <w:r w:rsidR="00230665" w:rsidRPr="005D24FB">
        <w:rPr>
          <w:rFonts w:ascii="Arial" w:eastAsia="Times New Roman" w:hAnsi="Arial" w:cs="Arial"/>
          <w:color w:val="auto"/>
          <w:sz w:val="20"/>
          <w:szCs w:val="20"/>
          <w:lang w:eastAsia="zh-CN" w:bidi="ar-SA"/>
        </w:rPr>
        <w:t>ng</w:t>
      </w:r>
      <w:r w:rsidR="005D24FB">
        <w:rPr>
          <w:rFonts w:ascii="Arial" w:eastAsia="Times New Roman" w:hAnsi="Arial" w:cs="Arial"/>
          <w:color w:val="auto"/>
          <w:sz w:val="20"/>
          <w:szCs w:val="20"/>
          <w:lang w:eastAsia="zh-CN" w:bidi="ar-SA"/>
        </w:rPr>
        <w:t xml:space="preserve">, </w:t>
      </w:r>
      <w:r w:rsidRPr="008F7AEB">
        <w:rPr>
          <w:rFonts w:ascii="Arial" w:eastAsia="Times New Roman" w:hAnsi="Arial" w:cs="Arial"/>
          <w:color w:val="auto"/>
          <w:sz w:val="20"/>
          <w:szCs w:val="20"/>
          <w:lang w:eastAsia="zh-CN" w:bidi="ar-SA"/>
        </w:rPr>
        <w:t>khai theo quý, khai theo năm, khai theo từng lần phát s</w:t>
      </w:r>
      <w:r w:rsidR="005D24FB">
        <w:rPr>
          <w:rFonts w:ascii="Arial" w:eastAsia="Times New Roman" w:hAnsi="Arial" w:cs="Arial"/>
          <w:color w:val="auto"/>
          <w:sz w:val="20"/>
          <w:szCs w:val="20"/>
          <w:lang w:eastAsia="zh-CN" w:bidi="ar-SA"/>
        </w:rPr>
        <w:t>inh nghĩa vụ thuế và khai</w:t>
      </w:r>
      <w:r w:rsidRPr="008F7AEB">
        <w:rPr>
          <w:rFonts w:ascii="Arial" w:eastAsia="Times New Roman" w:hAnsi="Arial" w:cs="Arial"/>
          <w:color w:val="auto"/>
          <w:sz w:val="20"/>
          <w:szCs w:val="20"/>
          <w:vertAlign w:val="superscript"/>
          <w:lang w:eastAsia="zh-CN" w:bidi="ar-SA"/>
        </w:rPr>
        <w:t xml:space="preserve"> </w:t>
      </w:r>
      <w:r w:rsidRPr="008F7AEB">
        <w:rPr>
          <w:rFonts w:ascii="Arial" w:eastAsia="Times New Roman" w:hAnsi="Arial" w:cs="Arial"/>
          <w:color w:val="auto"/>
          <w:sz w:val="20"/>
          <w:szCs w:val="20"/>
          <w:lang w:eastAsia="zh-CN" w:bidi="ar-SA"/>
        </w:rPr>
        <w:t xml:space="preserve">quyết toán thuế                                                                              </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eastAsia="zh-CN" w:bidi="ar-SA"/>
        </w:rPr>
        <w:t>“</w:t>
      </w:r>
      <w:r w:rsidR="005D24FB">
        <w:rPr>
          <w:rFonts w:ascii="Arial" w:eastAsia="Times New Roman" w:hAnsi="Arial" w:cs="Arial"/>
          <w:i/>
          <w:color w:val="auto"/>
          <w:sz w:val="20"/>
          <w:szCs w:val="20"/>
          <w:lang w:eastAsia="zh-CN" w:bidi="ar-SA"/>
        </w:rPr>
        <w:t xml:space="preserve">6. Các loại </w:t>
      </w:r>
      <w:r w:rsidRPr="008F7AEB">
        <w:rPr>
          <w:rFonts w:ascii="Arial" w:eastAsia="Times New Roman" w:hAnsi="Arial" w:cs="Arial"/>
          <w:i/>
          <w:color w:val="auto"/>
          <w:sz w:val="20"/>
          <w:szCs w:val="20"/>
          <w:lang w:eastAsia="zh-CN" w:bidi="ar-SA"/>
        </w:rPr>
        <w:t>thuế, khoản thu khai quyết to</w:t>
      </w:r>
      <w:r w:rsidR="005D24FB">
        <w:rPr>
          <w:rFonts w:ascii="Arial" w:eastAsia="Times New Roman" w:hAnsi="Arial" w:cs="Arial"/>
          <w:i/>
          <w:color w:val="auto"/>
          <w:sz w:val="20"/>
          <w:szCs w:val="20"/>
          <w:lang w:eastAsia="zh-CN" w:bidi="ar-SA"/>
        </w:rPr>
        <w:t>án năm và quyết toán đến t</w:t>
      </w:r>
      <w:r w:rsidR="006501BF">
        <w:rPr>
          <w:rFonts w:ascii="Arial" w:eastAsia="Times New Roman" w:hAnsi="Arial" w:cs="Arial"/>
          <w:i/>
          <w:color w:val="auto"/>
          <w:sz w:val="20"/>
          <w:szCs w:val="20"/>
          <w:lang w:eastAsia="zh-CN" w:bidi="ar-SA"/>
        </w:rPr>
        <w:t>hời điểm giải thể, phá sản, chấm</w:t>
      </w:r>
      <w:r w:rsidR="005D24FB">
        <w:rPr>
          <w:rFonts w:ascii="Arial" w:eastAsia="Times New Roman" w:hAnsi="Arial" w:cs="Arial"/>
          <w:i/>
          <w:color w:val="auto"/>
          <w:sz w:val="20"/>
          <w:szCs w:val="20"/>
          <w:lang w:eastAsia="zh-CN" w:bidi="ar-SA"/>
        </w:rPr>
        <w:t xml:space="preserve"> dứt hoạt động, chấm dứt hợp đồng hoặc tổ chức lại</w:t>
      </w:r>
      <w:r w:rsidRPr="008F7AEB">
        <w:rPr>
          <w:rFonts w:ascii="Arial" w:eastAsia="Times New Roman" w:hAnsi="Arial" w:cs="Arial"/>
          <w:i/>
          <w:color w:val="auto"/>
          <w:sz w:val="20"/>
          <w:szCs w:val="20"/>
          <w:lang w:eastAsia="zh-CN" w:bidi="ar-SA"/>
        </w:rPr>
        <w:t xml:space="preserve"> doanh nghiệp. </w:t>
      </w:r>
      <w:r w:rsidR="005D24FB" w:rsidRPr="005D24FB">
        <w:rPr>
          <w:rFonts w:ascii="Arial" w:eastAsia="Times New Roman" w:hAnsi="Arial" w:cs="Arial"/>
          <w:i/>
          <w:color w:val="auto"/>
          <w:sz w:val="20"/>
          <w:szCs w:val="20"/>
          <w:lang w:eastAsia="zh-CN" w:bidi="ar-SA"/>
        </w:rPr>
        <w:t>Trường hợp chuyển đổi l</w:t>
      </w:r>
      <w:r w:rsidR="005D24FB">
        <w:rPr>
          <w:rFonts w:ascii="Arial" w:eastAsia="Times New Roman" w:hAnsi="Arial" w:cs="Arial"/>
          <w:i/>
          <w:color w:val="auto"/>
          <w:sz w:val="20"/>
          <w:szCs w:val="20"/>
          <w:lang w:eastAsia="zh-CN" w:bidi="ar-SA"/>
        </w:rPr>
        <w:t>oại</w:t>
      </w:r>
      <w:r w:rsidRPr="008F7AEB">
        <w:rPr>
          <w:rFonts w:ascii="Arial" w:eastAsia="Times New Roman" w:hAnsi="Arial" w:cs="Arial"/>
          <w:i/>
          <w:color w:val="auto"/>
          <w:sz w:val="20"/>
          <w:szCs w:val="20"/>
          <w:lang w:eastAsia="zh-CN" w:bidi="ar-SA"/>
        </w:rPr>
        <w:t xml:space="preserve"> hình doanh nghiệp (không bao gồm doanh nghiệp nhà nước cổ phầ</w:t>
      </w:r>
      <w:r w:rsidR="005D24FB">
        <w:rPr>
          <w:rFonts w:ascii="Arial" w:eastAsia="Times New Roman" w:hAnsi="Arial" w:cs="Arial"/>
          <w:i/>
          <w:color w:val="auto"/>
          <w:sz w:val="20"/>
          <w:szCs w:val="20"/>
          <w:lang w:eastAsia="zh-CN" w:bidi="ar-SA"/>
        </w:rPr>
        <w:t>n hóa) mà doanh nghiệp chuyển đổ</w:t>
      </w:r>
      <w:r w:rsidRPr="008F7AEB">
        <w:rPr>
          <w:rFonts w:ascii="Arial" w:eastAsia="Times New Roman" w:hAnsi="Arial" w:cs="Arial"/>
          <w:i/>
          <w:color w:val="auto"/>
          <w:sz w:val="20"/>
          <w:szCs w:val="20"/>
          <w:lang w:eastAsia="zh-CN" w:bidi="ar-SA"/>
        </w:rPr>
        <w:t>i kế thừa toàn bộ nghĩa vụ về thuế của doanh ngh</w:t>
      </w:r>
      <w:r w:rsidR="006501BF">
        <w:rPr>
          <w:rFonts w:ascii="Arial" w:eastAsia="Times New Roman" w:hAnsi="Arial" w:cs="Arial"/>
          <w:i/>
          <w:color w:val="auto"/>
          <w:sz w:val="20"/>
          <w:szCs w:val="20"/>
          <w:lang w:eastAsia="zh-CN" w:bidi="ar-SA"/>
        </w:rPr>
        <w:t>iệp được chuyển đổi</w:t>
      </w:r>
      <w:r w:rsidRPr="008F7AEB">
        <w:rPr>
          <w:rFonts w:ascii="Arial" w:eastAsia="Times New Roman" w:hAnsi="Arial" w:cs="Arial"/>
          <w:i/>
          <w:color w:val="auto"/>
          <w:sz w:val="20"/>
          <w:szCs w:val="20"/>
          <w:lang w:eastAsia="zh-CN" w:bidi="ar-SA"/>
        </w:rPr>
        <w:t xml:space="preserve"> thì không phải khai quyết toán thuế đến thời điểm có quyết định về việc chuyển đổi doanh nghiệp, doanh nghiệp khai quyết toán khi kết thúc năm. </w:t>
      </w:r>
      <w:r w:rsidRPr="008F7AEB">
        <w:rPr>
          <w:rFonts w:ascii="Arial" w:eastAsia="Times New Roman" w:hAnsi="Arial" w:cs="Arial"/>
          <w:i/>
          <w:color w:val="auto"/>
          <w:sz w:val="20"/>
          <w:szCs w:val="20"/>
          <w:lang w:val="en-US" w:eastAsia="zh-CN" w:bidi="ar-SA"/>
        </w:rPr>
        <w:t>Cụ thể như sau:</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...d) Thuế thu nhập cá nhân đối với tổ chức, cá nhân trả thu nhập chịu thuế thu nhập cá nhân từ tiền lương, tiền công; cá nhân có thu nhập từ tiền lương, tiền công ủy quyền quyết toán thuế cho tổ chức, cá nhân trả thu nhập; cá nhân có thu nhập từ tiền lương, tiền công trực tiếp quyết toán thuế với cơ quan thuế. Cụ thể như sau:</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...d.2) Cá nhân cư trú có thu nhập từ tiền lương, tiền công ủy quyền quyết toán thuế cho tổ chức, cá nhân trả thu nhập, cụ thể như sau:</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Cá nhân có thu nhập từ tiền lương, tiền công ký hợp đồng lao động từ 03 tháng trở lên tại một nơi và thực tế đang làm việc tại đó vào thời điểm tổ chức, cá nhân trả thu nhập th</w:t>
      </w:r>
      <w:r w:rsidR="005A64D1">
        <w:rPr>
          <w:rFonts w:ascii="Arial" w:eastAsia="Times New Roman" w:hAnsi="Arial" w:cs="Arial"/>
          <w:i/>
          <w:color w:val="auto"/>
          <w:sz w:val="20"/>
          <w:szCs w:val="20"/>
          <w:lang w:val="en-US" w:eastAsia="zh-CN" w:bidi="ar-SA"/>
        </w:rPr>
        <w:t>ực hiện việc quyết toán thuế, kể</w:t>
      </w:r>
      <w:r w:rsidRPr="008F7AEB">
        <w:rPr>
          <w:rFonts w:ascii="Arial" w:eastAsia="Times New Roman" w:hAnsi="Arial" w:cs="Arial"/>
          <w:i/>
          <w:color w:val="auto"/>
          <w:sz w:val="20"/>
          <w:szCs w:val="20"/>
          <w:lang w:val="en-US" w:eastAsia="zh-CN" w:bidi="ar-SA"/>
        </w:rPr>
        <w:t xml:space="preserve"> cả trường hợp không làm việc đủ 12 tháng trong năm. Trường hợp cá nhân là người lao độn</w:t>
      </w:r>
      <w:r w:rsidR="005A64D1">
        <w:rPr>
          <w:rFonts w:ascii="Arial" w:eastAsia="Times New Roman" w:hAnsi="Arial" w:cs="Arial"/>
          <w:i/>
          <w:color w:val="auto"/>
          <w:sz w:val="20"/>
          <w:szCs w:val="20"/>
          <w:lang w:val="en-US" w:eastAsia="zh-CN" w:bidi="ar-SA"/>
        </w:rPr>
        <w:t>g được điều chuyển từ tổ chức cũ</w:t>
      </w:r>
      <w:r w:rsidRPr="008F7AEB">
        <w:rPr>
          <w:rFonts w:ascii="Arial" w:eastAsia="Times New Roman" w:hAnsi="Arial" w:cs="Arial"/>
          <w:i/>
          <w:color w:val="auto"/>
          <w:sz w:val="20"/>
          <w:szCs w:val="20"/>
          <w:lang w:val="en-US" w:eastAsia="zh-CN" w:bidi="ar-SA"/>
        </w:rPr>
        <w:t xml:space="preserve"> đến tổ chứ</w:t>
      </w:r>
      <w:r w:rsidR="005A64D1">
        <w:rPr>
          <w:rFonts w:ascii="Arial" w:eastAsia="Times New Roman" w:hAnsi="Arial" w:cs="Arial"/>
          <w:i/>
          <w:color w:val="auto"/>
          <w:sz w:val="20"/>
          <w:szCs w:val="20"/>
          <w:lang w:val="en-US" w:eastAsia="zh-CN" w:bidi="ar-SA"/>
        </w:rPr>
        <w:t>c mới theo quy định tại điểm d.</w:t>
      </w:r>
      <w:r w:rsidRPr="008F7AEB">
        <w:rPr>
          <w:rFonts w:ascii="Arial" w:eastAsia="Times New Roman" w:hAnsi="Arial" w:cs="Arial"/>
          <w:i/>
          <w:color w:val="auto"/>
          <w:sz w:val="20"/>
          <w:szCs w:val="20"/>
          <w:lang w:val="en-US" w:eastAsia="zh-CN" w:bidi="ar-SA"/>
        </w:rPr>
        <w:t>1 khoản này thì cá nhân được ủy quyền quy</w:t>
      </w:r>
      <w:r w:rsidR="005A64D1">
        <w:rPr>
          <w:rFonts w:ascii="Arial" w:eastAsia="Times New Roman" w:hAnsi="Arial" w:cs="Arial"/>
          <w:i/>
          <w:color w:val="auto"/>
          <w:sz w:val="20"/>
          <w:szCs w:val="20"/>
          <w:lang w:val="en-US" w:eastAsia="zh-CN" w:bidi="ar-SA"/>
        </w:rPr>
        <w:t>ết toán thuế cho tổ chức mới...</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...d.3) Cá nhân cư trú có thu nhập từ tiền lương, tiền công trực tiếp khai quyết toán thuế thu nhập cá nhân với cơ quan thuế trong các trường hợp sau đây:</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 xml:space="preserve">Có </w:t>
      </w:r>
      <w:r w:rsidR="005A64D1">
        <w:rPr>
          <w:rFonts w:ascii="Arial" w:eastAsia="Times New Roman" w:hAnsi="Arial" w:cs="Arial"/>
          <w:i/>
          <w:color w:val="auto"/>
          <w:sz w:val="20"/>
          <w:szCs w:val="20"/>
          <w:lang w:val="en-US" w:eastAsia="zh-CN" w:bidi="ar-SA"/>
        </w:rPr>
        <w:t>số thuế phải nộp thêm hoặc có số</w:t>
      </w:r>
      <w:r w:rsidRPr="008F7AEB">
        <w:rPr>
          <w:rFonts w:ascii="Arial" w:eastAsia="Times New Roman" w:hAnsi="Arial" w:cs="Arial"/>
          <w:i/>
          <w:color w:val="auto"/>
          <w:sz w:val="20"/>
          <w:szCs w:val="20"/>
          <w:lang w:val="en-US" w:eastAsia="zh-CN" w:bidi="ar-SA"/>
        </w:rPr>
        <w:t xml:space="preserve"> thuế nộp thừa đề nghị hoàn hoặc bù trừ vào kỳ khai t</w:t>
      </w:r>
      <w:r w:rsidR="005A64D1">
        <w:rPr>
          <w:rFonts w:ascii="Arial" w:eastAsia="Times New Roman" w:hAnsi="Arial" w:cs="Arial"/>
          <w:i/>
          <w:color w:val="auto"/>
          <w:sz w:val="20"/>
          <w:szCs w:val="20"/>
          <w:lang w:val="en-US" w:eastAsia="zh-CN" w:bidi="ar-SA"/>
        </w:rPr>
        <w:t>huế tiếp theo, trừ các trường hợ</w:t>
      </w:r>
      <w:r w:rsidRPr="008F7AEB">
        <w:rPr>
          <w:rFonts w:ascii="Arial" w:eastAsia="Times New Roman" w:hAnsi="Arial" w:cs="Arial"/>
          <w:i/>
          <w:color w:val="auto"/>
          <w:sz w:val="20"/>
          <w:szCs w:val="20"/>
          <w:lang w:val="en-US" w:eastAsia="zh-CN" w:bidi="ar-SA"/>
        </w:rPr>
        <w:t>p sau: cá nhân có số thuế phải nộp thêm sau quyết toán của từng năm từ 50.0</w:t>
      </w:r>
      <w:r w:rsidR="005A64D1">
        <w:rPr>
          <w:rFonts w:ascii="Arial" w:eastAsia="Times New Roman" w:hAnsi="Arial" w:cs="Arial"/>
          <w:i/>
          <w:color w:val="auto"/>
          <w:sz w:val="20"/>
          <w:szCs w:val="20"/>
          <w:lang w:val="en-US" w:eastAsia="zh-CN" w:bidi="ar-SA"/>
        </w:rPr>
        <w:t>00 đồng trở xuống; cá nhân có số</w:t>
      </w:r>
      <w:r w:rsidRPr="008F7AEB">
        <w:rPr>
          <w:rFonts w:ascii="Arial" w:eastAsia="Times New Roman" w:hAnsi="Arial" w:cs="Arial"/>
          <w:i/>
          <w:color w:val="auto"/>
          <w:sz w:val="20"/>
          <w:szCs w:val="20"/>
          <w:lang w:val="en-US" w:eastAsia="zh-CN" w:bidi="ar-SA"/>
        </w:rPr>
        <w:t xml:space="preserve"> thuế phải nộp nhỏ hơn số thuế đã tạm nộp mà không có yêu cầu hoà</w:t>
      </w:r>
      <w:r w:rsidR="005A64D1">
        <w:rPr>
          <w:rFonts w:ascii="Arial" w:eastAsia="Times New Roman" w:hAnsi="Arial" w:cs="Arial"/>
          <w:i/>
          <w:color w:val="auto"/>
          <w:sz w:val="20"/>
          <w:szCs w:val="20"/>
          <w:lang w:val="en-US" w:eastAsia="zh-CN" w:bidi="ar-SA"/>
        </w:rPr>
        <w:t>n thuế hoặc bù trừ vào kỳ khai thuế</w:t>
      </w:r>
      <w:r w:rsidRPr="008F7AEB">
        <w:rPr>
          <w:rFonts w:ascii="Arial" w:eastAsia="Times New Roman" w:hAnsi="Arial" w:cs="Arial"/>
          <w:i/>
          <w:color w:val="auto"/>
          <w:sz w:val="20"/>
          <w:szCs w:val="20"/>
          <w:lang w:val="en-US" w:eastAsia="zh-CN" w:bidi="ar-SA"/>
        </w:rPr>
        <w:t xml:space="preserve"> tiếp theo; cá nhân có thu </w:t>
      </w:r>
      <w:r w:rsidR="005A64D1">
        <w:rPr>
          <w:rFonts w:ascii="Arial" w:eastAsia="Times New Roman" w:hAnsi="Arial" w:cs="Arial"/>
          <w:i/>
          <w:color w:val="auto"/>
          <w:sz w:val="20"/>
          <w:szCs w:val="20"/>
          <w:lang w:val="en-US" w:eastAsia="zh-CN" w:bidi="ar-SA"/>
        </w:rPr>
        <w:t>nhập từ tiền lương, tiền công ký</w:t>
      </w:r>
      <w:r w:rsidRPr="008F7AEB">
        <w:rPr>
          <w:rFonts w:ascii="Arial" w:eastAsia="Times New Roman" w:hAnsi="Arial" w:cs="Arial"/>
          <w:i/>
          <w:color w:val="auto"/>
          <w:sz w:val="20"/>
          <w:szCs w:val="20"/>
          <w:lang w:val="en-US" w:eastAsia="zh-CN" w:bidi="ar-SA"/>
        </w:rPr>
        <w:t xml:space="preserve"> hợp đồng lao động từ 03 tháng trở lên tại một đơn vị, đồng thời có thu</w:t>
      </w:r>
      <w:r w:rsidR="005A64D1">
        <w:rPr>
          <w:rFonts w:ascii="Arial" w:eastAsia="Times New Roman" w:hAnsi="Arial" w:cs="Arial"/>
          <w:i/>
          <w:color w:val="auto"/>
          <w:sz w:val="20"/>
          <w:szCs w:val="20"/>
          <w:lang w:val="en-US" w:eastAsia="zh-CN" w:bidi="ar-SA"/>
        </w:rPr>
        <w:t xml:space="preserve"> nhập vãng lai ở các nơi khác bì</w:t>
      </w:r>
      <w:r w:rsidRPr="008F7AEB">
        <w:rPr>
          <w:rFonts w:ascii="Arial" w:eastAsia="Times New Roman" w:hAnsi="Arial" w:cs="Arial"/>
          <w:i/>
          <w:color w:val="auto"/>
          <w:sz w:val="20"/>
          <w:szCs w:val="20"/>
          <w:lang w:val="en-US" w:eastAsia="zh-CN" w:bidi="ar-SA"/>
        </w:rPr>
        <w:t>nh q</w:t>
      </w:r>
      <w:r w:rsidR="005A64D1">
        <w:rPr>
          <w:rFonts w:ascii="Arial" w:eastAsia="Times New Roman" w:hAnsi="Arial" w:cs="Arial"/>
          <w:i/>
          <w:color w:val="auto"/>
          <w:sz w:val="20"/>
          <w:szCs w:val="20"/>
          <w:lang w:val="en-US" w:eastAsia="zh-CN" w:bidi="ar-SA"/>
        </w:rPr>
        <w:t>uân tháng trong năm không quá 10</w:t>
      </w:r>
      <w:r w:rsidRPr="008F7AEB">
        <w:rPr>
          <w:rFonts w:ascii="Arial" w:eastAsia="Times New Roman" w:hAnsi="Arial" w:cs="Arial"/>
          <w:i/>
          <w:color w:val="auto"/>
          <w:sz w:val="20"/>
          <w:szCs w:val="20"/>
          <w:lang w:val="en-US" w:eastAsia="zh-CN" w:bidi="ar-SA"/>
        </w:rPr>
        <w:t xml:space="preserve"> triệu đồng và đã được </w:t>
      </w:r>
      <w:r w:rsidR="005A64D1">
        <w:rPr>
          <w:rFonts w:ascii="Arial" w:eastAsia="Times New Roman" w:hAnsi="Arial" w:cs="Arial"/>
          <w:i/>
          <w:color w:val="auto"/>
          <w:sz w:val="20"/>
          <w:szCs w:val="20"/>
          <w:lang w:val="en-US" w:eastAsia="zh-CN" w:bidi="ar-SA"/>
        </w:rPr>
        <w:t>khấu trừ thuế thu nhập cá</w:t>
      </w:r>
      <w:r w:rsidRPr="008F7AEB">
        <w:rPr>
          <w:rFonts w:ascii="Arial" w:eastAsia="Times New Roman" w:hAnsi="Arial" w:cs="Arial"/>
          <w:i/>
          <w:color w:val="auto"/>
          <w:sz w:val="20"/>
          <w:szCs w:val="20"/>
          <w:lang w:val="en-US" w:eastAsia="zh-CN" w:bidi="ar-SA"/>
        </w:rPr>
        <w:t xml:space="preserve"> nhân theo tỷ</w:t>
      </w:r>
      <w:r w:rsidR="005A64D1">
        <w:rPr>
          <w:rFonts w:ascii="Arial" w:eastAsia="Times New Roman" w:hAnsi="Arial" w:cs="Arial"/>
          <w:i/>
          <w:color w:val="auto"/>
          <w:sz w:val="20"/>
          <w:szCs w:val="20"/>
          <w:lang w:val="en-US" w:eastAsia="zh-CN" w:bidi="ar-SA"/>
        </w:rPr>
        <w:t xml:space="preserve"> lệ 10% nếu không có yêu cầu thì</w:t>
      </w:r>
      <w:r w:rsidRPr="008F7AEB">
        <w:rPr>
          <w:rFonts w:ascii="Arial" w:eastAsia="Times New Roman" w:hAnsi="Arial" w:cs="Arial"/>
          <w:i/>
          <w:color w:val="auto"/>
          <w:sz w:val="20"/>
          <w:szCs w:val="20"/>
          <w:lang w:val="en-US" w:eastAsia="zh-CN" w:bidi="ar-SA"/>
        </w:rPr>
        <w:t xml:space="preserve"> không phải quyết toán thuế đối với phần thu nhập này; cá nhân được ng</w:t>
      </w:r>
      <w:r w:rsidR="005A64D1">
        <w:rPr>
          <w:rFonts w:ascii="Arial" w:eastAsia="Times New Roman" w:hAnsi="Arial" w:cs="Arial"/>
          <w:i/>
          <w:color w:val="auto"/>
          <w:sz w:val="20"/>
          <w:szCs w:val="20"/>
          <w:lang w:val="en-US" w:eastAsia="zh-CN" w:bidi="ar-SA"/>
        </w:rPr>
        <w:t>ười sử dụng lao động mua bảo hiểm nhân thọ (trừ bảo hiể</w:t>
      </w:r>
      <w:r w:rsidRPr="008F7AEB">
        <w:rPr>
          <w:rFonts w:ascii="Arial" w:eastAsia="Times New Roman" w:hAnsi="Arial" w:cs="Arial"/>
          <w:i/>
          <w:color w:val="auto"/>
          <w:sz w:val="20"/>
          <w:szCs w:val="20"/>
          <w:lang w:val="en-US" w:eastAsia="zh-CN" w:bidi="ar-SA"/>
        </w:rPr>
        <w:t>m hưu trí tự nguyện), bảo hiểm không bắt buộc khác có tích lũ</w:t>
      </w:r>
      <w:r w:rsidR="005A64D1">
        <w:rPr>
          <w:rFonts w:ascii="Arial" w:eastAsia="Times New Roman" w:hAnsi="Arial" w:cs="Arial"/>
          <w:i/>
          <w:color w:val="auto"/>
          <w:sz w:val="20"/>
          <w:szCs w:val="20"/>
          <w:lang w:val="en-US" w:eastAsia="zh-CN" w:bidi="ar-SA"/>
        </w:rPr>
        <w:t>y về phí bảo hiể</w:t>
      </w:r>
      <w:r w:rsidRPr="008F7AEB">
        <w:rPr>
          <w:rFonts w:ascii="Arial" w:eastAsia="Times New Roman" w:hAnsi="Arial" w:cs="Arial"/>
          <w:i/>
          <w:color w:val="auto"/>
          <w:sz w:val="20"/>
          <w:szCs w:val="20"/>
          <w:lang w:val="en-US" w:eastAsia="zh-CN" w:bidi="ar-SA"/>
        </w:rPr>
        <w:t>m mà người sử dụng la</w:t>
      </w:r>
      <w:r w:rsidR="005A64D1">
        <w:rPr>
          <w:rFonts w:ascii="Arial" w:eastAsia="Times New Roman" w:hAnsi="Arial" w:cs="Arial"/>
          <w:i/>
          <w:color w:val="auto"/>
          <w:sz w:val="20"/>
          <w:szCs w:val="20"/>
          <w:lang w:val="en-US" w:eastAsia="zh-CN" w:bidi="ar-SA"/>
        </w:rPr>
        <w:t>o động hoặc doanh nghiệp bảo hiể</w:t>
      </w:r>
      <w:r w:rsidRPr="008F7AEB">
        <w:rPr>
          <w:rFonts w:ascii="Arial" w:eastAsia="Times New Roman" w:hAnsi="Arial" w:cs="Arial"/>
          <w:i/>
          <w:color w:val="auto"/>
          <w:sz w:val="20"/>
          <w:szCs w:val="20"/>
          <w:lang w:val="en-US" w:eastAsia="zh-CN" w:bidi="ar-SA"/>
        </w:rPr>
        <w:t>m đã khấu trừ thuế thu nhập cá nhân theo tỷ lệ 10% trên khoản tiền phí bảo hiểm tương ứng với phần người sử dụng lao động mua hoặc đóng góp cho người lao động thì người lao động không phải quyết toán thuế thu nhập cá nh</w:t>
      </w:r>
      <w:r w:rsidR="005A64D1">
        <w:rPr>
          <w:rFonts w:ascii="Arial" w:eastAsia="Times New Roman" w:hAnsi="Arial" w:cs="Arial"/>
          <w:i/>
          <w:color w:val="auto"/>
          <w:sz w:val="20"/>
          <w:szCs w:val="20"/>
          <w:lang w:val="en-US" w:eastAsia="zh-CN" w:bidi="ar-SA"/>
        </w:rPr>
        <w:t>ân đối với phần thu nhập này...</w:t>
      </w:r>
      <w:r w:rsidRPr="008F7AEB">
        <w:rPr>
          <w:rFonts w:ascii="Arial" w:eastAsia="Times New Roman" w:hAnsi="Arial" w:cs="Arial"/>
          <w:i/>
          <w:color w:val="auto"/>
          <w:sz w:val="20"/>
          <w:szCs w:val="20"/>
          <w:lang w:val="en-US" w:eastAsia="zh-CN" w:bidi="ar-SA"/>
        </w:rPr>
        <w:t>”</w:t>
      </w:r>
    </w:p>
    <w:p w:rsidR="005A64D1" w:rsidRDefault="008F7AEB" w:rsidP="004F7F61">
      <w:pPr>
        <w:widowControl/>
        <w:spacing w:after="120"/>
        <w:ind w:firstLine="720"/>
        <w:jc w:val="both"/>
        <w:rPr>
          <w:rFonts w:ascii="Arial" w:eastAsia="Times New Roman" w:hAnsi="Arial" w:cs="Arial"/>
          <w:color w:val="auto"/>
          <w:sz w:val="20"/>
          <w:szCs w:val="20"/>
          <w:lang w:val="en-US" w:eastAsia="zh-CN" w:bidi="ar-SA"/>
        </w:rPr>
      </w:pPr>
      <w:r w:rsidRPr="008F7AEB">
        <w:rPr>
          <w:rFonts w:ascii="Arial" w:eastAsia="Times New Roman" w:hAnsi="Arial" w:cs="Arial"/>
          <w:color w:val="auto"/>
          <w:sz w:val="20"/>
          <w:szCs w:val="20"/>
          <w:lang w:val="en-US" w:eastAsia="zh-CN" w:bidi="ar-SA"/>
        </w:rPr>
        <w:t xml:space="preserve">- Căn cứ Thông tư số 111/2013/TT-BTC </w:t>
      </w:r>
      <w:r w:rsidR="005A64D1">
        <w:rPr>
          <w:rFonts w:ascii="Arial" w:eastAsia="Times New Roman" w:hAnsi="Arial" w:cs="Arial"/>
          <w:color w:val="auto"/>
          <w:sz w:val="20"/>
          <w:szCs w:val="20"/>
          <w:lang w:val="en-US" w:eastAsia="zh-CN" w:bidi="ar-SA"/>
        </w:rPr>
        <w:t>ngày 15/8/2013 của Bộ Tài chính</w:t>
      </w:r>
      <w:r w:rsidRPr="008F7AEB">
        <w:rPr>
          <w:rFonts w:ascii="Arial" w:eastAsia="Times New Roman" w:hAnsi="Arial" w:cs="Arial"/>
          <w:color w:val="auto"/>
          <w:sz w:val="20"/>
          <w:szCs w:val="20"/>
          <w:lang w:val="en-US" w:eastAsia="zh-CN" w:bidi="ar-SA"/>
        </w:rPr>
        <w:t>:</w:t>
      </w:r>
    </w:p>
    <w:p w:rsidR="008F7AEB" w:rsidRPr="008F7AEB" w:rsidRDefault="008F7AEB" w:rsidP="004F7F61">
      <w:pPr>
        <w:widowControl/>
        <w:spacing w:after="120"/>
        <w:ind w:firstLine="720"/>
        <w:jc w:val="both"/>
        <w:rPr>
          <w:rFonts w:ascii="Arial" w:eastAsia="Times New Roman" w:hAnsi="Arial" w:cs="Arial"/>
          <w:color w:val="auto"/>
          <w:sz w:val="20"/>
          <w:szCs w:val="20"/>
          <w:lang w:val="en-US" w:eastAsia="zh-CN" w:bidi="ar-SA"/>
        </w:rPr>
      </w:pPr>
      <w:r w:rsidRPr="008F7AEB">
        <w:rPr>
          <w:rFonts w:ascii="Arial" w:eastAsia="Times New Roman" w:hAnsi="Arial" w:cs="Arial"/>
          <w:color w:val="auto"/>
          <w:sz w:val="20"/>
          <w:szCs w:val="20"/>
          <w:lang w:val="en-US" w:eastAsia="zh-CN" w:bidi="ar-SA"/>
        </w:rPr>
        <w:t>+ Tại khoản 2 Điều 2 quy định các khoản thu nhập chịu thuế:</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“Điều 2. Các khoản thu nhập chịu thuế</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lastRenderedPageBreak/>
        <w:t>Theo quy định tại Điều 3 Luật Thuế thu nhập cá nhân và Điều 3 Nghị định số 65/2013/NĐ-CP, các khoản thu nhập chịu thuế thu nhập cá nhân bao gồm:</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...2. Thu nhập từ tiền lương, tiền công</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Thu nhập từ tiền lương, tiền công là thu nhập người lao động nhận được từ người sử dụng lao động, bao gồm:</w:t>
      </w:r>
    </w:p>
    <w:p w:rsidR="008F7AEB" w:rsidRPr="008F7AEB" w:rsidRDefault="006D7CD8" w:rsidP="004F7F61">
      <w:pPr>
        <w:widowControl/>
        <w:spacing w:after="120"/>
        <w:ind w:firstLine="720"/>
        <w:jc w:val="both"/>
        <w:rPr>
          <w:rFonts w:ascii="Arial" w:eastAsia="Times New Roman" w:hAnsi="Arial" w:cs="Arial"/>
          <w:i/>
          <w:color w:val="auto"/>
          <w:sz w:val="20"/>
          <w:szCs w:val="20"/>
          <w:lang w:val="en-US" w:eastAsia="zh-CN" w:bidi="ar-SA"/>
        </w:rPr>
      </w:pPr>
      <w:r w:rsidRPr="006D7CD8">
        <w:rPr>
          <w:rFonts w:ascii="Arial" w:eastAsia="Times New Roman" w:hAnsi="Arial" w:cs="Arial"/>
          <w:i/>
          <w:color w:val="auto"/>
          <w:sz w:val="20"/>
          <w:szCs w:val="20"/>
          <w:lang w:val="en-US" w:eastAsia="zh-CN" w:bidi="ar-SA"/>
        </w:rPr>
        <w:t xml:space="preserve">a) </w:t>
      </w:r>
      <w:r w:rsidR="008F7AEB" w:rsidRPr="008F7AEB">
        <w:rPr>
          <w:rFonts w:ascii="Arial" w:eastAsia="Times New Roman" w:hAnsi="Arial" w:cs="Arial"/>
          <w:i/>
          <w:color w:val="auto"/>
          <w:sz w:val="20"/>
          <w:szCs w:val="20"/>
          <w:lang w:val="en-US" w:eastAsia="zh-CN" w:bidi="ar-SA"/>
        </w:rPr>
        <w:t>Tiền lương, tiền công và các khoản có tính chất tiền lương, tiền công dưới các hình thức bằng tiền hoặc không bằng tiền.</w:t>
      </w:r>
    </w:p>
    <w:p w:rsidR="008F7AEB" w:rsidRPr="008F7AEB" w:rsidRDefault="006D7CD8" w:rsidP="004F7F61">
      <w:pPr>
        <w:widowControl/>
        <w:spacing w:after="120"/>
        <w:ind w:firstLine="720"/>
        <w:jc w:val="both"/>
        <w:rPr>
          <w:rFonts w:ascii="Arial" w:eastAsia="Times New Roman" w:hAnsi="Arial" w:cs="Arial"/>
          <w:i/>
          <w:color w:val="auto"/>
          <w:sz w:val="20"/>
          <w:szCs w:val="20"/>
          <w:lang w:val="en-US" w:eastAsia="zh-CN" w:bidi="ar-SA"/>
        </w:rPr>
      </w:pPr>
      <w:r w:rsidRPr="006D7CD8">
        <w:rPr>
          <w:rFonts w:ascii="Arial" w:eastAsia="Times New Roman" w:hAnsi="Arial" w:cs="Arial"/>
          <w:i/>
          <w:color w:val="auto"/>
          <w:sz w:val="20"/>
          <w:szCs w:val="20"/>
          <w:lang w:val="en-US" w:eastAsia="zh-CN" w:bidi="ar-SA"/>
        </w:rPr>
        <w:t xml:space="preserve">b) </w:t>
      </w:r>
      <w:r w:rsidR="008F7AEB" w:rsidRPr="008F7AEB">
        <w:rPr>
          <w:rFonts w:ascii="Arial" w:eastAsia="Times New Roman" w:hAnsi="Arial" w:cs="Arial"/>
          <w:i/>
          <w:color w:val="auto"/>
          <w:sz w:val="20"/>
          <w:szCs w:val="20"/>
          <w:lang w:val="en-US" w:eastAsia="zh-CN" w:bidi="ar-SA"/>
        </w:rPr>
        <w:t>Các khoản phụ cấp, trợ cấp, trừ các khoản phụ cấp, trợ cấp sau:</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 xml:space="preserve">...b.6) Trợ cấp khó khăn đột xuất, trợ cấp tai nạn lao động, bệnh nghề nghiệp, trợ cấp một lần khi sinh con hoặc nhận nuôi con nuôi, mức hưởng chế độ thai sản, mức hưởng dưỡng sức, phục hồi sức khoẻ sau thai sản, trợ cấp do suy giảm khả năng lao động, trợ cấp hưu trí một lần, tiền tuất hàng tháng, </w:t>
      </w:r>
      <w:r w:rsidRPr="008F7AEB">
        <w:rPr>
          <w:rFonts w:ascii="Arial" w:eastAsia="Times New Roman" w:hAnsi="Arial" w:cs="Arial"/>
          <w:i/>
          <w:color w:val="auto"/>
          <w:sz w:val="20"/>
          <w:szCs w:val="20"/>
          <w:u w:val="single"/>
          <w:lang w:val="en-US" w:eastAsia="zh-CN" w:bidi="ar-SA"/>
        </w:rPr>
        <w:t>trợ cấp thôi việc,</w:t>
      </w:r>
      <w:r w:rsidRPr="008F7AEB">
        <w:rPr>
          <w:rFonts w:ascii="Arial" w:eastAsia="Times New Roman" w:hAnsi="Arial" w:cs="Arial"/>
          <w:i/>
          <w:color w:val="auto"/>
          <w:sz w:val="20"/>
          <w:szCs w:val="20"/>
          <w:lang w:val="en-US" w:eastAsia="zh-CN" w:bidi="ar-SA"/>
        </w:rPr>
        <w:t xml:space="preserve"> trợ cấp mất việc làm, trợ cấp thất nghiệp và các khoản trợ cấp khác theo quy định của Bộ luật Lao động và Luật Bảo hiểm xã hội.</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u w:val="single"/>
          <w:lang w:val="en-US" w:eastAsia="zh-CN" w:bidi="ar-SA"/>
        </w:rPr>
        <w:t>...Các khoản phụ cấp, trợ cấp và mức phụ cấp, trợ cấp không tính vào thu nhập chịu thuế hướng dẫn tại điểm b, khoản 2, Điều này phải được cơ quan Nhà nước có thẩm quyền quy định.</w:t>
      </w:r>
    </w:p>
    <w:p w:rsidR="008F7AEB" w:rsidRPr="008F7AEB" w:rsidRDefault="008F7AEB" w:rsidP="004F7F61">
      <w:pPr>
        <w:widowControl/>
        <w:spacing w:after="120"/>
        <w:ind w:firstLine="720"/>
        <w:jc w:val="both"/>
        <w:rPr>
          <w:rFonts w:ascii="Arial" w:eastAsia="Times New Roman" w:hAnsi="Arial" w:cs="Arial"/>
          <w:color w:val="auto"/>
          <w:sz w:val="20"/>
          <w:szCs w:val="20"/>
          <w:lang w:val="en-US" w:eastAsia="zh-CN" w:bidi="ar-SA"/>
        </w:rPr>
      </w:pPr>
      <w:r w:rsidRPr="008F7AEB">
        <w:rPr>
          <w:rFonts w:ascii="Arial" w:eastAsia="Times New Roman" w:hAnsi="Arial" w:cs="Arial"/>
          <w:color w:val="auto"/>
          <w:sz w:val="20"/>
          <w:szCs w:val="20"/>
          <w:lang w:val="en-US" w:eastAsia="zh-CN" w:bidi="ar-SA"/>
        </w:rPr>
        <w:t>+ Tại tiết b khoản 2 Điều 8 hướng dẫn thời điểm xác định thu nhập chịu thuế TNCN từ tiền lương, tiền công</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“2. Thu nhập chịu thuế từ tiền lương, tiền công</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 b) Thời điểm xác định thu nhập chịu thuế.</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u w:val="single"/>
          <w:lang w:val="en-US" w:eastAsia="zh-CN" w:bidi="ar-SA"/>
        </w:rPr>
        <w:t>Thời điểm xác định thu nhập chịu thuế đối với thu nhập từ tiền lương, tiền công là thời điểm tổ chức, cá nhân trả thu nhập cho người nộp thuế</w:t>
      </w:r>
      <w:r w:rsidRPr="008F7AEB">
        <w:rPr>
          <w:rFonts w:ascii="Arial" w:eastAsia="Times New Roman" w:hAnsi="Arial" w:cs="Arial"/>
          <w:i/>
          <w:color w:val="auto"/>
          <w:sz w:val="20"/>
          <w:szCs w:val="20"/>
          <w:lang w:val="en-US" w:eastAsia="zh-CN" w:bidi="ar-SA"/>
        </w:rPr>
        <w:t>.</w:t>
      </w:r>
    </w:p>
    <w:p w:rsidR="006D7CD8" w:rsidRPr="006D7CD8" w:rsidRDefault="006D7CD8" w:rsidP="004F7F61">
      <w:pPr>
        <w:widowControl/>
        <w:spacing w:after="120"/>
        <w:ind w:firstLine="720"/>
        <w:jc w:val="both"/>
        <w:rPr>
          <w:rFonts w:ascii="Arial" w:eastAsia="Times New Roman" w:hAnsi="Arial" w:cs="Arial"/>
          <w:i/>
          <w:color w:val="auto"/>
          <w:sz w:val="20"/>
          <w:szCs w:val="20"/>
          <w:lang w:val="en-US" w:eastAsia="zh-CN" w:bidi="ar-SA"/>
        </w:rPr>
      </w:pPr>
      <w:r w:rsidRPr="006D7CD8">
        <w:rPr>
          <w:rFonts w:ascii="Arial" w:eastAsia="Times New Roman" w:hAnsi="Arial" w:cs="Arial"/>
          <w:i/>
          <w:color w:val="auto"/>
          <w:sz w:val="20"/>
          <w:szCs w:val="20"/>
          <w:lang w:val="en-US" w:eastAsia="zh-CN" w:bidi="ar-SA"/>
        </w:rPr>
        <w:t>...”</w:t>
      </w:r>
    </w:p>
    <w:p w:rsidR="008F7AEB" w:rsidRPr="008F7AEB" w:rsidRDefault="008F7AEB" w:rsidP="004F7F61">
      <w:pPr>
        <w:widowControl/>
        <w:spacing w:after="120"/>
        <w:ind w:firstLine="720"/>
        <w:jc w:val="both"/>
        <w:rPr>
          <w:rFonts w:ascii="Arial" w:eastAsia="Times New Roman" w:hAnsi="Arial" w:cs="Arial"/>
          <w:color w:val="auto"/>
          <w:sz w:val="20"/>
          <w:szCs w:val="20"/>
          <w:lang w:val="en-US" w:eastAsia="zh-CN" w:bidi="ar-SA"/>
        </w:rPr>
      </w:pPr>
      <w:r w:rsidRPr="008F7AEB">
        <w:rPr>
          <w:rFonts w:ascii="Arial" w:eastAsia="Times New Roman" w:hAnsi="Arial" w:cs="Arial"/>
          <w:color w:val="auto"/>
          <w:sz w:val="20"/>
          <w:szCs w:val="20"/>
          <w:lang w:val="en-US" w:eastAsia="zh-CN" w:bidi="ar-SA"/>
        </w:rPr>
        <w:t>+ Tại khoản 1, Điều 25 quy định về khấu trừ thuế TNCN:</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w:t>
      </w:r>
      <w:r w:rsidR="006D7CD8" w:rsidRPr="006D7CD8">
        <w:rPr>
          <w:rFonts w:ascii="Arial" w:eastAsia="Times New Roman" w:hAnsi="Arial" w:cs="Arial"/>
          <w:i/>
          <w:color w:val="auto"/>
          <w:sz w:val="20"/>
          <w:szCs w:val="20"/>
          <w:lang w:val="en-US" w:eastAsia="zh-CN" w:bidi="ar-SA"/>
        </w:rPr>
        <w:t>1.</w:t>
      </w:r>
      <w:r w:rsidRPr="008F7AEB">
        <w:rPr>
          <w:rFonts w:ascii="Arial" w:eastAsia="Times New Roman" w:hAnsi="Arial" w:cs="Arial"/>
          <w:i/>
          <w:color w:val="auto"/>
          <w:sz w:val="20"/>
          <w:szCs w:val="20"/>
          <w:lang w:val="en-US" w:eastAsia="zh-CN" w:bidi="ar-SA"/>
        </w:rPr>
        <w:t xml:space="preserve"> Khấu trừ thuế</w:t>
      </w:r>
    </w:p>
    <w:p w:rsidR="008F7AEB" w:rsidRPr="008F7AEB" w:rsidRDefault="006D7CD8" w:rsidP="004F7F61">
      <w:pPr>
        <w:widowControl/>
        <w:spacing w:after="120"/>
        <w:ind w:firstLine="720"/>
        <w:jc w:val="both"/>
        <w:rPr>
          <w:rFonts w:ascii="Arial" w:eastAsia="Times New Roman" w:hAnsi="Arial" w:cs="Arial"/>
          <w:i/>
          <w:color w:val="auto"/>
          <w:sz w:val="20"/>
          <w:szCs w:val="20"/>
          <w:lang w:val="en-US" w:eastAsia="zh-CN" w:bidi="ar-SA"/>
        </w:rPr>
      </w:pPr>
      <w:r w:rsidRPr="006D7CD8">
        <w:rPr>
          <w:rFonts w:ascii="Arial" w:eastAsia="Times New Roman" w:hAnsi="Arial" w:cs="Arial"/>
          <w:i/>
          <w:color w:val="auto"/>
          <w:sz w:val="20"/>
          <w:szCs w:val="20"/>
          <w:lang w:val="en-US" w:eastAsia="zh-CN" w:bidi="ar-SA"/>
        </w:rPr>
        <w:t>...i</w:t>
      </w:r>
      <w:r w:rsidR="008F7AEB" w:rsidRPr="008F7AEB">
        <w:rPr>
          <w:rFonts w:ascii="Arial" w:eastAsia="Times New Roman" w:hAnsi="Arial" w:cs="Arial"/>
          <w:i/>
          <w:color w:val="auto"/>
          <w:sz w:val="20"/>
          <w:szCs w:val="20"/>
          <w:lang w:val="en-US" w:eastAsia="zh-CN" w:bidi="ar-SA"/>
        </w:rPr>
        <w:t xml:space="preserve">) Khấu trừ thuế </w:t>
      </w:r>
      <w:r w:rsidR="00230665" w:rsidRPr="006D7CD8">
        <w:rPr>
          <w:rFonts w:ascii="Arial" w:eastAsia="Times New Roman" w:hAnsi="Arial" w:cs="Arial"/>
          <w:i/>
          <w:color w:val="auto"/>
          <w:sz w:val="20"/>
          <w:szCs w:val="20"/>
          <w:lang w:val="en-US" w:eastAsia="zh-CN" w:bidi="ar-SA"/>
        </w:rPr>
        <w:t>đối với một số trường hợp khác</w:t>
      </w:r>
    </w:p>
    <w:p w:rsidR="008F7AEB" w:rsidRPr="008F7AEB" w:rsidRDefault="006D7CD8" w:rsidP="004F7F61">
      <w:pPr>
        <w:widowControl/>
        <w:spacing w:after="120"/>
        <w:ind w:firstLine="720"/>
        <w:jc w:val="both"/>
        <w:rPr>
          <w:rFonts w:ascii="Arial" w:eastAsia="Times New Roman" w:hAnsi="Arial" w:cs="Arial"/>
          <w:i/>
          <w:color w:val="auto"/>
          <w:sz w:val="20"/>
          <w:szCs w:val="20"/>
          <w:lang w:val="en-US" w:eastAsia="zh-CN" w:bidi="ar-SA"/>
        </w:rPr>
      </w:pPr>
      <w:r w:rsidRPr="006D7CD8">
        <w:rPr>
          <w:rFonts w:ascii="Arial" w:eastAsia="Times New Roman" w:hAnsi="Arial" w:cs="Arial"/>
          <w:i/>
          <w:color w:val="auto"/>
          <w:sz w:val="20"/>
          <w:szCs w:val="20"/>
          <w:lang w:val="en-US" w:eastAsia="zh-CN" w:bidi="ar-SA"/>
        </w:rPr>
        <w:t>Các tổ chức, cá nhân trả</w:t>
      </w:r>
      <w:r w:rsidR="008F7AEB" w:rsidRPr="008F7AEB">
        <w:rPr>
          <w:rFonts w:ascii="Arial" w:eastAsia="Times New Roman" w:hAnsi="Arial" w:cs="Arial"/>
          <w:i/>
          <w:color w:val="auto"/>
          <w:sz w:val="20"/>
          <w:szCs w:val="20"/>
          <w:lang w:val="en-US" w:eastAsia="zh-CN" w:bidi="ar-SA"/>
        </w:rPr>
        <w:t xml:space="preserve"> ti</w:t>
      </w:r>
      <w:r w:rsidRPr="006D7CD8">
        <w:rPr>
          <w:rFonts w:ascii="Arial" w:eastAsia="Times New Roman" w:hAnsi="Arial" w:cs="Arial"/>
          <w:i/>
          <w:color w:val="auto"/>
          <w:sz w:val="20"/>
          <w:szCs w:val="20"/>
          <w:lang w:val="en-US" w:eastAsia="zh-CN" w:bidi="ar-SA"/>
        </w:rPr>
        <w:t xml:space="preserve">ền công, tiền thù lao, tiền chi </w:t>
      </w:r>
      <w:r>
        <w:rPr>
          <w:rFonts w:ascii="Arial" w:eastAsia="Times New Roman" w:hAnsi="Arial" w:cs="Arial"/>
          <w:i/>
          <w:color w:val="auto"/>
          <w:sz w:val="20"/>
          <w:szCs w:val="20"/>
          <w:lang w:val="en-US" w:eastAsia="zh-CN" w:bidi="ar-SA"/>
        </w:rPr>
        <w:t>khác cho cá nhân cư trú</w:t>
      </w:r>
      <w:r w:rsidR="008F7AEB" w:rsidRPr="008F7AEB">
        <w:rPr>
          <w:rFonts w:ascii="Arial" w:eastAsia="Times New Roman" w:hAnsi="Arial" w:cs="Arial"/>
          <w:i/>
          <w:color w:val="auto"/>
          <w:sz w:val="20"/>
          <w:szCs w:val="20"/>
          <w:lang w:val="en-US" w:eastAsia="zh-CN" w:bidi="ar-SA"/>
        </w:rPr>
        <w:t xml:space="preserve"> không ký hợp đồng lao động (theo hướng dẫn tại điểm c, d, khoản</w:t>
      </w:r>
      <w:r>
        <w:rPr>
          <w:rFonts w:ascii="Arial" w:eastAsia="Times New Roman" w:hAnsi="Arial" w:cs="Arial"/>
          <w:i/>
          <w:color w:val="auto"/>
          <w:sz w:val="20"/>
          <w:szCs w:val="20"/>
          <w:lang w:val="en-US" w:eastAsia="zh-CN" w:bidi="ar-SA"/>
        </w:rPr>
        <w:t xml:space="preserve"> 2, Điều 2 Thông tư này) hoặc ký</w:t>
      </w:r>
      <w:r w:rsidR="008F7AEB" w:rsidRPr="008F7AEB">
        <w:rPr>
          <w:rFonts w:ascii="Arial" w:eastAsia="Times New Roman" w:hAnsi="Arial" w:cs="Arial"/>
          <w:i/>
          <w:color w:val="auto"/>
          <w:sz w:val="20"/>
          <w:szCs w:val="20"/>
          <w:lang w:val="en-US" w:eastAsia="zh-CN" w:bidi="ar-SA"/>
        </w:rPr>
        <w:t xml:space="preserve"> hợp đồng lao động d</w:t>
      </w:r>
      <w:r>
        <w:rPr>
          <w:rFonts w:ascii="Arial" w:eastAsia="Times New Roman" w:hAnsi="Arial" w:cs="Arial"/>
          <w:i/>
          <w:color w:val="auto"/>
          <w:sz w:val="20"/>
          <w:szCs w:val="20"/>
          <w:lang w:val="en-US" w:eastAsia="zh-CN" w:bidi="ar-SA"/>
        </w:rPr>
        <w:t>ưới ba (03) tháng có tổng mức trả</w:t>
      </w:r>
      <w:r w:rsidR="008F7AEB" w:rsidRPr="008F7AEB">
        <w:rPr>
          <w:rFonts w:ascii="Arial" w:eastAsia="Times New Roman" w:hAnsi="Arial" w:cs="Arial"/>
          <w:i/>
          <w:color w:val="auto"/>
          <w:sz w:val="20"/>
          <w:szCs w:val="20"/>
          <w:lang w:val="en-US" w:eastAsia="zh-CN" w:bidi="ar-SA"/>
        </w:rPr>
        <w:t xml:space="preserve"> thu nhập từ </w:t>
      </w:r>
      <w:r>
        <w:rPr>
          <w:rFonts w:ascii="Arial" w:eastAsia="Times New Roman" w:hAnsi="Arial" w:cs="Arial"/>
          <w:i/>
          <w:color w:val="auto"/>
          <w:sz w:val="20"/>
          <w:szCs w:val="20"/>
          <w:lang w:val="en-US" w:eastAsia="zh-CN" w:bidi="ar-SA"/>
        </w:rPr>
        <w:t>hai triệu (2.000.000) đồng/lần tr</w:t>
      </w:r>
      <w:r w:rsidR="008F7AEB" w:rsidRPr="008F7AEB">
        <w:rPr>
          <w:rFonts w:ascii="Arial" w:eastAsia="Times New Roman" w:hAnsi="Arial" w:cs="Arial"/>
          <w:i/>
          <w:color w:val="auto"/>
          <w:sz w:val="20"/>
          <w:szCs w:val="20"/>
          <w:lang w:val="en-US" w:eastAsia="zh-CN" w:bidi="ar-SA"/>
        </w:rPr>
        <w:t>ở lên thì phải khấu trừ thuế theo m</w:t>
      </w:r>
      <w:r>
        <w:rPr>
          <w:rFonts w:ascii="Arial" w:eastAsia="Times New Roman" w:hAnsi="Arial" w:cs="Arial"/>
          <w:i/>
          <w:color w:val="auto"/>
          <w:sz w:val="20"/>
          <w:szCs w:val="20"/>
          <w:lang w:val="en-US" w:eastAsia="zh-CN" w:bidi="ar-SA"/>
        </w:rPr>
        <w:t>ức 10% trên thu nhập trước khi tr</w:t>
      </w:r>
      <w:r w:rsidR="008F7AEB" w:rsidRPr="008F7AEB">
        <w:rPr>
          <w:rFonts w:ascii="Arial" w:eastAsia="Times New Roman" w:hAnsi="Arial" w:cs="Arial"/>
          <w:i/>
          <w:color w:val="auto"/>
          <w:sz w:val="20"/>
          <w:szCs w:val="20"/>
          <w:lang w:val="en-US" w:eastAsia="zh-CN" w:bidi="ar-SA"/>
        </w:rPr>
        <w:t>ả cho cá nhân.</w:t>
      </w:r>
    </w:p>
    <w:p w:rsidR="008F7AEB" w:rsidRPr="008F7AEB" w:rsidRDefault="008F7AEB" w:rsidP="004F7F61">
      <w:pPr>
        <w:widowControl/>
        <w:spacing w:after="120"/>
        <w:ind w:firstLine="720"/>
        <w:jc w:val="both"/>
        <w:rPr>
          <w:rFonts w:ascii="Arial" w:eastAsia="Times New Roman" w:hAnsi="Arial" w:cs="Arial"/>
          <w:i/>
          <w:color w:val="auto"/>
          <w:sz w:val="20"/>
          <w:szCs w:val="20"/>
          <w:lang w:val="en-US" w:eastAsia="zh-CN" w:bidi="ar-SA"/>
        </w:rPr>
      </w:pPr>
      <w:r w:rsidRPr="008F7AEB">
        <w:rPr>
          <w:rFonts w:ascii="Arial" w:eastAsia="Times New Roman" w:hAnsi="Arial" w:cs="Arial"/>
          <w:i/>
          <w:color w:val="auto"/>
          <w:sz w:val="20"/>
          <w:szCs w:val="20"/>
          <w:lang w:val="en-US" w:eastAsia="zh-CN" w:bidi="ar-SA"/>
        </w:rPr>
        <w:t>Trường hợp cá nhân chỉ có duy nhất thu nhập thuộc đối tượng phải khấu trừ thuế theo tỷ l</w:t>
      </w:r>
      <w:r w:rsidR="00CE621A">
        <w:rPr>
          <w:rFonts w:ascii="Arial" w:eastAsia="Times New Roman" w:hAnsi="Arial" w:cs="Arial"/>
          <w:i/>
          <w:color w:val="auto"/>
          <w:sz w:val="20"/>
          <w:szCs w:val="20"/>
          <w:lang w:val="en-US" w:eastAsia="zh-CN" w:bidi="ar-SA"/>
        </w:rPr>
        <w:t>ệ nêu trên như</w:t>
      </w:r>
      <w:bookmarkStart w:id="1" w:name="_GoBack"/>
      <w:bookmarkEnd w:id="1"/>
      <w:r w:rsidR="006710CE">
        <w:rPr>
          <w:rFonts w:ascii="Arial" w:eastAsia="Times New Roman" w:hAnsi="Arial" w:cs="Arial"/>
          <w:i/>
          <w:color w:val="auto"/>
          <w:sz w:val="20"/>
          <w:szCs w:val="20"/>
          <w:lang w:val="en-US" w:eastAsia="zh-CN" w:bidi="ar-SA"/>
        </w:rPr>
        <w:t>ng ước tí</w:t>
      </w:r>
      <w:r w:rsidRPr="008F7AEB">
        <w:rPr>
          <w:rFonts w:ascii="Arial" w:eastAsia="Times New Roman" w:hAnsi="Arial" w:cs="Arial"/>
          <w:i/>
          <w:color w:val="auto"/>
          <w:sz w:val="20"/>
          <w:szCs w:val="20"/>
          <w:lang w:val="en-US" w:eastAsia="zh-CN" w:bidi="ar-SA"/>
        </w:rPr>
        <w:t>nh tổng mức thu nhập chịu thuế của cá nhân sau khi trừ gia cảnh chưa đến mức phải nộp thuế thì cá nhân có thu nhập làm cam kết (theo mẫu ban hành kèm theo văn bản hướng dẫn</w:t>
      </w:r>
      <w:r w:rsidR="006710CE">
        <w:rPr>
          <w:rFonts w:ascii="Arial" w:eastAsia="Times New Roman" w:hAnsi="Arial" w:cs="Arial"/>
          <w:i/>
          <w:color w:val="auto"/>
          <w:sz w:val="20"/>
          <w:szCs w:val="20"/>
          <w:lang w:val="en-US" w:eastAsia="zh-CN" w:bidi="ar-SA"/>
        </w:rPr>
        <w:t xml:space="preserve"> về quản lý thuế) gửi tổ chức trả thu nhập để tổ chức tr</w:t>
      </w:r>
      <w:r w:rsidRPr="008F7AEB">
        <w:rPr>
          <w:rFonts w:ascii="Arial" w:eastAsia="Times New Roman" w:hAnsi="Arial" w:cs="Arial"/>
          <w:i/>
          <w:color w:val="auto"/>
          <w:sz w:val="20"/>
          <w:szCs w:val="20"/>
          <w:lang w:val="en-US" w:eastAsia="zh-CN" w:bidi="ar-SA"/>
        </w:rPr>
        <w:t xml:space="preserve">ả thu nhập làm căn cứ tạm thời chưa </w:t>
      </w:r>
      <w:r w:rsidR="00230665" w:rsidRPr="006710CE">
        <w:rPr>
          <w:rFonts w:ascii="Arial" w:eastAsia="Times New Roman" w:hAnsi="Arial" w:cs="Arial"/>
          <w:i/>
          <w:color w:val="auto"/>
          <w:sz w:val="20"/>
          <w:szCs w:val="20"/>
          <w:lang w:val="en-US" w:eastAsia="zh-CN" w:bidi="ar-SA"/>
        </w:rPr>
        <w:t>khấu trừ thuế thu nhập cá nhân.</w:t>
      </w:r>
      <w:r w:rsidRPr="008F7AEB">
        <w:rPr>
          <w:rFonts w:ascii="Arial" w:eastAsia="Times New Roman" w:hAnsi="Arial" w:cs="Arial"/>
          <w:i/>
          <w:color w:val="auto"/>
          <w:sz w:val="20"/>
          <w:szCs w:val="20"/>
          <w:lang w:val="en-US" w:eastAsia="zh-CN" w:bidi="ar-SA"/>
        </w:rPr>
        <w:t>”</w:t>
      </w:r>
    </w:p>
    <w:p w:rsidR="008F7AEB" w:rsidRPr="008F7AEB" w:rsidRDefault="008F7AEB" w:rsidP="004F7F61">
      <w:pPr>
        <w:widowControl/>
        <w:spacing w:after="120"/>
        <w:ind w:firstLine="720"/>
        <w:jc w:val="both"/>
        <w:rPr>
          <w:rFonts w:ascii="Arial" w:eastAsia="Times New Roman" w:hAnsi="Arial" w:cs="Arial"/>
          <w:color w:val="auto"/>
          <w:sz w:val="20"/>
          <w:szCs w:val="20"/>
          <w:lang w:val="en-US" w:eastAsia="zh-CN" w:bidi="ar-SA"/>
        </w:rPr>
      </w:pPr>
      <w:r w:rsidRPr="008F7AEB">
        <w:rPr>
          <w:rFonts w:ascii="Arial" w:eastAsia="Times New Roman" w:hAnsi="Arial" w:cs="Arial"/>
          <w:color w:val="auto"/>
          <w:sz w:val="20"/>
          <w:szCs w:val="20"/>
          <w:lang w:val="en-US" w:eastAsia="zh-CN" w:bidi="ar-SA"/>
        </w:rPr>
        <w:t>Căn</w:t>
      </w:r>
      <w:r w:rsidR="005A64D1">
        <w:rPr>
          <w:rFonts w:ascii="Arial" w:eastAsia="Times New Roman" w:hAnsi="Arial" w:cs="Arial"/>
          <w:color w:val="auto"/>
          <w:sz w:val="20"/>
          <w:szCs w:val="20"/>
          <w:lang w:val="en-US" w:eastAsia="zh-CN" w:bidi="ar-SA"/>
        </w:rPr>
        <w:t xml:space="preserve"> cứ các quy định trên, trường hợ</w:t>
      </w:r>
      <w:r w:rsidRPr="008F7AEB">
        <w:rPr>
          <w:rFonts w:ascii="Arial" w:eastAsia="Times New Roman" w:hAnsi="Arial" w:cs="Arial"/>
          <w:color w:val="auto"/>
          <w:sz w:val="20"/>
          <w:szCs w:val="20"/>
          <w:lang w:val="en-US" w:eastAsia="zh-CN" w:bidi="ar-SA"/>
        </w:rPr>
        <w:t>p Công ty trả khoản trợ cấp thôi việc cho người lao động nghỉ việc theo đúng đối tượng và mức quy định của Bộ Luật lao động thì khoản thu nhập này không tính vào thu nhập chịu thuế TNCN từ tiền lương, tiền công của người lao động theo hướng dẫn tại tiết b.6, điểm b khoản 2 Điều 2 Thông tư 111/2013/TT-BTC.</w:t>
      </w:r>
    </w:p>
    <w:p w:rsidR="008F7AEB" w:rsidRPr="008F7AEB" w:rsidRDefault="008F7AEB" w:rsidP="004F7F61">
      <w:pPr>
        <w:widowControl/>
        <w:spacing w:after="120"/>
        <w:ind w:firstLine="720"/>
        <w:jc w:val="both"/>
        <w:rPr>
          <w:rFonts w:ascii="Arial" w:eastAsia="Times New Roman" w:hAnsi="Arial" w:cs="Arial"/>
          <w:color w:val="auto"/>
          <w:sz w:val="20"/>
          <w:szCs w:val="20"/>
          <w:lang w:val="en-US" w:eastAsia="zh-CN" w:bidi="ar-SA"/>
        </w:rPr>
      </w:pPr>
      <w:r w:rsidRPr="008F7AEB">
        <w:rPr>
          <w:rFonts w:ascii="Arial" w:eastAsia="Times New Roman" w:hAnsi="Arial" w:cs="Arial"/>
          <w:color w:val="auto"/>
          <w:sz w:val="20"/>
          <w:szCs w:val="20"/>
          <w:lang w:val="en-US" w:eastAsia="zh-CN" w:bidi="ar-SA"/>
        </w:rPr>
        <w:t>Trường hợp Công ty chi trả các khoản tiền lương, tiền công, các khoản lợi ích khác và các khoản trợ cấp (ngoài quy định của Bộ Luật lao động và Luật Bảo hiểm xã hội) sau khi đã chấm dứt Hợp đồng lao động, nếu khoản chi này từ hai triệu (2.000.000) đồng trở lên thì Công ty thực hiện khấu trừ thuế TNCN theo mức 10% trên tổng thu nhập trước khi trả cho cá nhân theo quy định tại điểm i khoản 1 Điều 25 Thông tư 111/2013/TT-BTC của Bộ Tài chính.</w:t>
      </w:r>
    </w:p>
    <w:p w:rsidR="008F7AEB" w:rsidRPr="008F7AEB" w:rsidRDefault="008F7AEB" w:rsidP="004F7F61">
      <w:pPr>
        <w:widowControl/>
        <w:spacing w:after="120"/>
        <w:ind w:firstLine="720"/>
        <w:jc w:val="both"/>
        <w:rPr>
          <w:rFonts w:ascii="Arial" w:eastAsia="Times New Roman" w:hAnsi="Arial" w:cs="Arial"/>
          <w:color w:val="auto"/>
          <w:sz w:val="20"/>
          <w:szCs w:val="20"/>
          <w:lang w:val="en-US" w:eastAsia="zh-CN" w:bidi="ar-SA"/>
        </w:rPr>
      </w:pPr>
      <w:r w:rsidRPr="008F7AEB">
        <w:rPr>
          <w:rFonts w:ascii="Arial" w:eastAsia="Times New Roman" w:hAnsi="Arial" w:cs="Arial"/>
          <w:color w:val="auto"/>
          <w:sz w:val="20"/>
          <w:szCs w:val="20"/>
          <w:lang w:val="en-US" w:eastAsia="zh-CN" w:bidi="ar-SA"/>
        </w:rPr>
        <w:t>Trường hợp cuối năm cá nhân có thu nhập từ tiền lương, tiền công không thuộc trường hợp được ủy quyền cho tổ chức trả thu nhập quyết toán thuế thay thì phải tổng hợp các nguồn thu nhập để khai qu</w:t>
      </w:r>
      <w:r w:rsidR="006710CE">
        <w:rPr>
          <w:rFonts w:ascii="Arial" w:eastAsia="Times New Roman" w:hAnsi="Arial" w:cs="Arial"/>
          <w:color w:val="auto"/>
          <w:sz w:val="20"/>
          <w:szCs w:val="20"/>
          <w:lang w:val="en-US" w:eastAsia="zh-CN" w:bidi="ar-SA"/>
        </w:rPr>
        <w:t xml:space="preserve">yết toán thuế trực tiếp với cơ </w:t>
      </w:r>
      <w:r w:rsidRPr="008F7AEB">
        <w:rPr>
          <w:rFonts w:ascii="Arial" w:eastAsia="Times New Roman" w:hAnsi="Arial" w:cs="Arial"/>
          <w:color w:val="auto"/>
          <w:sz w:val="20"/>
          <w:szCs w:val="20"/>
          <w:lang w:val="en-US" w:eastAsia="zh-CN" w:bidi="ar-SA"/>
        </w:rPr>
        <w:t>quan thuế theo quy định tại điểm d.3 khoản 6 Điều 8 Nghị định số 126/2020/NĐ-CP của Chính phủ nêu trên.</w:t>
      </w:r>
    </w:p>
    <w:p w:rsidR="008F7AEB" w:rsidRPr="008F7AEB" w:rsidRDefault="008F7AEB" w:rsidP="004F7F61">
      <w:pPr>
        <w:widowControl/>
        <w:spacing w:after="120"/>
        <w:ind w:firstLine="720"/>
        <w:jc w:val="both"/>
        <w:rPr>
          <w:rFonts w:ascii="Arial" w:eastAsia="Times New Roman" w:hAnsi="Arial" w:cs="Arial"/>
          <w:color w:val="auto"/>
          <w:sz w:val="20"/>
          <w:szCs w:val="20"/>
          <w:lang w:val="en-US" w:eastAsia="zh-CN" w:bidi="ar-SA"/>
        </w:rPr>
      </w:pPr>
      <w:r w:rsidRPr="008F7AEB">
        <w:rPr>
          <w:rFonts w:ascii="Arial" w:eastAsia="Times New Roman" w:hAnsi="Arial" w:cs="Arial"/>
          <w:color w:val="auto"/>
          <w:sz w:val="20"/>
          <w:szCs w:val="20"/>
          <w:lang w:val="en-US" w:eastAsia="zh-CN" w:bidi="ar-SA"/>
        </w:rPr>
        <w:t>Trong quá trình thực hiện chính sách thuế, trường hợp còn vướng mắc, đơn vị có thể tham khảo các văn bản hướng dẫn của Cục Thuế TP Hà Nội được đăng tải trên website</w:t>
      </w:r>
      <w:r w:rsidR="00230665" w:rsidRPr="003342B8">
        <w:rPr>
          <w:rFonts w:ascii="Arial" w:eastAsia="Times New Roman" w:hAnsi="Arial" w:cs="Arial"/>
          <w:color w:val="auto"/>
          <w:sz w:val="20"/>
          <w:szCs w:val="20"/>
          <w:u w:val="single"/>
          <w:lang w:val="en-US" w:eastAsia="zh-CN" w:bidi="ar-SA"/>
        </w:rPr>
        <w:t xml:space="preserve"> </w:t>
      </w:r>
      <w:r w:rsidR="00230665" w:rsidRPr="003342B8">
        <w:rPr>
          <w:rFonts w:ascii="Arial" w:eastAsia="Times New Roman" w:hAnsi="Arial" w:cs="Arial"/>
          <w:b/>
          <w:bCs/>
          <w:color w:val="auto"/>
          <w:sz w:val="20"/>
          <w:szCs w:val="20"/>
          <w:u w:val="single"/>
          <w:lang w:val="en-US" w:eastAsia="zh-CN" w:bidi="ar-SA"/>
        </w:rPr>
        <w:t>http://hanoi.gdt.gov.vn</w:t>
      </w:r>
      <w:r w:rsidRPr="008F7AEB">
        <w:rPr>
          <w:rFonts w:ascii="Arial" w:eastAsia="Times New Roman" w:hAnsi="Arial" w:cs="Arial"/>
          <w:b/>
          <w:bCs/>
          <w:color w:val="auto"/>
          <w:sz w:val="20"/>
          <w:szCs w:val="20"/>
          <w:lang w:val="en-US" w:eastAsia="zh-CN" w:bidi="ar-SA"/>
        </w:rPr>
        <w:t xml:space="preserve"> </w:t>
      </w:r>
      <w:r w:rsidRPr="008F7AEB">
        <w:rPr>
          <w:rFonts w:ascii="Arial" w:eastAsia="Times New Roman" w:hAnsi="Arial" w:cs="Arial"/>
          <w:color w:val="auto"/>
          <w:sz w:val="20"/>
          <w:szCs w:val="20"/>
          <w:lang w:val="en-US" w:eastAsia="zh-CN" w:bidi="ar-SA"/>
        </w:rPr>
        <w:t>hoặc liên hệ với Phòng Thanh tra kiểm tra số 1 để được hỗ trợ giải quyết.</w:t>
      </w:r>
    </w:p>
    <w:p w:rsidR="008F7AEB" w:rsidRPr="008F7AEB" w:rsidRDefault="008F7AEB" w:rsidP="004F7F61">
      <w:pPr>
        <w:widowControl/>
        <w:spacing w:after="120"/>
        <w:ind w:firstLine="720"/>
        <w:jc w:val="both"/>
        <w:rPr>
          <w:rFonts w:ascii="Arial" w:eastAsia="Times New Roman" w:hAnsi="Arial" w:cs="Arial"/>
          <w:color w:val="auto"/>
          <w:sz w:val="20"/>
          <w:szCs w:val="20"/>
          <w:lang w:val="en-US" w:eastAsia="zh-CN" w:bidi="ar-SA"/>
        </w:rPr>
      </w:pPr>
      <w:r w:rsidRPr="008F7AEB">
        <w:rPr>
          <w:rFonts w:ascii="Arial" w:eastAsia="Times New Roman" w:hAnsi="Arial" w:cs="Arial"/>
          <w:color w:val="auto"/>
          <w:sz w:val="20"/>
          <w:szCs w:val="20"/>
          <w:lang w:val="en-US" w:eastAsia="zh-CN" w:bidi="ar-SA"/>
        </w:rPr>
        <w:lastRenderedPageBreak/>
        <w:t>Cục Thuế TP Hà Nội trả lời để Công ty được biết và thực hiện./.</w:t>
      </w:r>
    </w:p>
    <w:tbl>
      <w:tblPr>
        <w:tblW w:w="5000" w:type="pct"/>
        <w:tblCellMar>
          <w:left w:w="0" w:type="dxa"/>
          <w:right w:w="0" w:type="dxa"/>
        </w:tblCellMar>
        <w:tblLook w:val="04A0" w:firstRow="1" w:lastRow="0" w:firstColumn="1" w:lastColumn="0" w:noHBand="0" w:noVBand="1"/>
      </w:tblPr>
      <w:tblGrid>
        <w:gridCol w:w="4510"/>
        <w:gridCol w:w="4510"/>
      </w:tblGrid>
      <w:tr w:rsidR="008F7AEB" w:rsidRPr="00076D3D" w:rsidTr="00C0762E">
        <w:tc>
          <w:tcPr>
            <w:tcW w:w="2500" w:type="pct"/>
            <w:shd w:val="clear" w:color="auto" w:fill="auto"/>
            <w:tcMar>
              <w:top w:w="0" w:type="dxa"/>
              <w:left w:w="108" w:type="dxa"/>
              <w:bottom w:w="0" w:type="dxa"/>
              <w:right w:w="108" w:type="dxa"/>
            </w:tcMar>
          </w:tcPr>
          <w:p w:rsidR="008F7AEB" w:rsidRDefault="008F7AEB" w:rsidP="004F7F61">
            <w:pPr>
              <w:pStyle w:val="NormalWeb"/>
              <w:spacing w:before="0" w:beforeAutospacing="0" w:after="0" w:afterAutospacing="0"/>
              <w:rPr>
                <w:rFonts w:ascii="Arial" w:hAnsi="Arial" w:cs="Arial"/>
                <w:sz w:val="20"/>
                <w:szCs w:val="20"/>
                <w:lang w:val="vi-VN"/>
              </w:rPr>
            </w:pPr>
            <w:r w:rsidRPr="00275688">
              <w:rPr>
                <w:rFonts w:ascii="Arial" w:hAnsi="Arial" w:cs="Arial"/>
                <w:b/>
                <w:bCs/>
                <w:i/>
                <w:iCs/>
                <w:sz w:val="20"/>
                <w:szCs w:val="20"/>
                <w:lang w:val="vi-VN"/>
              </w:rPr>
              <w:t>Nơi nhận:</w:t>
            </w:r>
            <w:r w:rsidRPr="00275688">
              <w:rPr>
                <w:rFonts w:ascii="Arial" w:hAnsi="Arial" w:cs="Arial"/>
                <w:b/>
                <w:bCs/>
                <w:i/>
                <w:iCs/>
                <w:sz w:val="20"/>
                <w:szCs w:val="20"/>
                <w:lang w:val="vi-VN"/>
              </w:rPr>
              <w:br/>
            </w:r>
            <w:r w:rsidRPr="00D83D0B">
              <w:rPr>
                <w:rFonts w:ascii="Arial" w:hAnsi="Arial" w:cs="Arial"/>
                <w:sz w:val="20"/>
                <w:szCs w:val="20"/>
                <w:lang w:val="vi-VN"/>
              </w:rPr>
              <w:t>- Như trên;</w:t>
            </w:r>
          </w:p>
          <w:p w:rsidR="006710CE" w:rsidRPr="006710CE" w:rsidRDefault="006710CE" w:rsidP="004F7F61">
            <w:pPr>
              <w:pStyle w:val="NormalWeb"/>
              <w:spacing w:before="0" w:beforeAutospacing="0" w:after="0" w:afterAutospacing="0"/>
              <w:rPr>
                <w:rFonts w:ascii="Arial" w:hAnsi="Arial" w:cs="Arial"/>
                <w:sz w:val="20"/>
                <w:szCs w:val="20"/>
                <w:lang w:val="vi-VN"/>
              </w:rPr>
            </w:pPr>
            <w:r w:rsidRPr="006710CE">
              <w:rPr>
                <w:rFonts w:ascii="Arial" w:hAnsi="Arial" w:cs="Arial"/>
                <w:sz w:val="20"/>
                <w:szCs w:val="20"/>
                <w:lang w:val="vi-VN"/>
              </w:rPr>
              <w:t>- Phòng NVDTPC;</w:t>
            </w:r>
          </w:p>
          <w:p w:rsidR="006710CE" w:rsidRPr="006710CE" w:rsidRDefault="006710CE" w:rsidP="004F7F61">
            <w:pPr>
              <w:pStyle w:val="NormalWeb"/>
              <w:spacing w:before="0" w:beforeAutospacing="0" w:after="0" w:afterAutospacing="0"/>
              <w:rPr>
                <w:rFonts w:ascii="Arial" w:hAnsi="Arial" w:cs="Arial"/>
                <w:sz w:val="20"/>
                <w:szCs w:val="20"/>
                <w:lang w:val="vi-VN"/>
              </w:rPr>
            </w:pPr>
            <w:r w:rsidRPr="006710CE">
              <w:rPr>
                <w:rFonts w:ascii="Arial" w:hAnsi="Arial" w:cs="Arial"/>
                <w:sz w:val="20"/>
                <w:szCs w:val="20"/>
                <w:lang w:val="vi-VN"/>
              </w:rPr>
              <w:t>- Phòng TTKT1;</w:t>
            </w:r>
          </w:p>
          <w:p w:rsidR="006710CE" w:rsidRPr="006710CE" w:rsidRDefault="006710CE" w:rsidP="004F7F61">
            <w:pPr>
              <w:pStyle w:val="NormalWeb"/>
              <w:spacing w:before="0" w:beforeAutospacing="0" w:after="0" w:afterAutospacing="0"/>
              <w:rPr>
                <w:rFonts w:ascii="Arial" w:hAnsi="Arial" w:cs="Arial"/>
                <w:sz w:val="20"/>
                <w:szCs w:val="20"/>
                <w:lang w:val="vi-VN"/>
              </w:rPr>
            </w:pPr>
            <w:r w:rsidRPr="006710CE">
              <w:rPr>
                <w:rFonts w:ascii="Arial" w:hAnsi="Arial" w:cs="Arial"/>
                <w:sz w:val="20"/>
                <w:szCs w:val="20"/>
                <w:lang w:val="vi-VN"/>
              </w:rPr>
              <w:t>- Website Cục Thuế;</w:t>
            </w:r>
          </w:p>
          <w:p w:rsidR="008F7AEB" w:rsidRPr="004A6A7F" w:rsidRDefault="008F7AEB" w:rsidP="004F7F61">
            <w:pPr>
              <w:pStyle w:val="NormalWeb"/>
              <w:spacing w:before="0" w:beforeAutospacing="0" w:after="0" w:afterAutospacing="0"/>
              <w:rPr>
                <w:rFonts w:ascii="Arial" w:hAnsi="Arial" w:cs="Arial"/>
                <w:sz w:val="20"/>
                <w:szCs w:val="20"/>
                <w:lang w:val="vi-VN"/>
              </w:rPr>
            </w:pPr>
            <w:r w:rsidRPr="004A6A7F">
              <w:rPr>
                <w:rFonts w:ascii="Arial" w:hAnsi="Arial" w:cs="Arial"/>
                <w:sz w:val="20"/>
                <w:szCs w:val="20"/>
                <w:lang w:val="vi-VN"/>
              </w:rPr>
              <w:t>- Lưu: VT, TTHT</w:t>
            </w:r>
            <w:r w:rsidR="006710CE">
              <w:rPr>
                <w:rFonts w:ascii="Arial" w:hAnsi="Arial" w:cs="Arial"/>
                <w:sz w:val="20"/>
                <w:szCs w:val="20"/>
              </w:rPr>
              <w:t>(2)</w:t>
            </w:r>
            <w:r w:rsidRPr="004A6A7F">
              <w:rPr>
                <w:rFonts w:ascii="Arial" w:hAnsi="Arial" w:cs="Arial"/>
                <w:sz w:val="20"/>
                <w:szCs w:val="20"/>
                <w:lang w:val="vi-VN"/>
              </w:rPr>
              <w:t>.</w:t>
            </w:r>
          </w:p>
          <w:p w:rsidR="008F7AEB" w:rsidRPr="006050C3" w:rsidRDefault="008F7AEB" w:rsidP="004F7F61">
            <w:pPr>
              <w:pStyle w:val="NormalWeb"/>
              <w:spacing w:before="0" w:beforeAutospacing="0" w:after="0" w:afterAutospacing="0"/>
              <w:rPr>
                <w:rFonts w:ascii="Arial" w:hAnsi="Arial" w:cs="Arial"/>
                <w:sz w:val="20"/>
                <w:szCs w:val="20"/>
                <w:lang w:val="vi-VN"/>
              </w:rPr>
            </w:pPr>
          </w:p>
        </w:tc>
        <w:tc>
          <w:tcPr>
            <w:tcW w:w="2500" w:type="pct"/>
            <w:shd w:val="clear" w:color="auto" w:fill="auto"/>
            <w:tcMar>
              <w:top w:w="0" w:type="dxa"/>
              <w:left w:w="108" w:type="dxa"/>
              <w:bottom w:w="0" w:type="dxa"/>
              <w:right w:w="108" w:type="dxa"/>
            </w:tcMar>
          </w:tcPr>
          <w:p w:rsidR="008F7AEB" w:rsidRDefault="008F7AEB" w:rsidP="004F7F61">
            <w:pPr>
              <w:jc w:val="center"/>
              <w:rPr>
                <w:rFonts w:ascii="Arial" w:hAnsi="Arial" w:cs="Arial"/>
                <w:b/>
                <w:bCs/>
                <w:sz w:val="20"/>
                <w:szCs w:val="20"/>
              </w:rPr>
            </w:pPr>
            <w:r w:rsidRPr="000932ED">
              <w:rPr>
                <w:rFonts w:ascii="Arial" w:hAnsi="Arial" w:cs="Arial"/>
                <w:b/>
                <w:bCs/>
                <w:sz w:val="20"/>
                <w:szCs w:val="20"/>
              </w:rPr>
              <w:t xml:space="preserve">KT. </w:t>
            </w:r>
            <w:r w:rsidRPr="00A858DB">
              <w:rPr>
                <w:rFonts w:ascii="Arial" w:hAnsi="Arial" w:cs="Arial"/>
                <w:b/>
                <w:bCs/>
                <w:sz w:val="20"/>
                <w:szCs w:val="20"/>
              </w:rPr>
              <w:t xml:space="preserve">CỤC </w:t>
            </w:r>
            <w:r w:rsidRPr="00076D3D">
              <w:rPr>
                <w:rFonts w:ascii="Arial" w:hAnsi="Arial" w:cs="Arial"/>
                <w:b/>
                <w:bCs/>
                <w:sz w:val="20"/>
                <w:szCs w:val="20"/>
              </w:rPr>
              <w:t>TRƯỞNG</w:t>
            </w:r>
          </w:p>
          <w:p w:rsidR="008F7AEB" w:rsidRPr="006710CE" w:rsidRDefault="008F7AEB" w:rsidP="006710CE">
            <w:pPr>
              <w:jc w:val="center"/>
              <w:rPr>
                <w:rFonts w:ascii="Arial" w:hAnsi="Arial" w:cs="Arial"/>
                <w:b/>
                <w:bCs/>
                <w:sz w:val="20"/>
                <w:szCs w:val="20"/>
              </w:rPr>
            </w:pPr>
            <w:r w:rsidRPr="000932ED">
              <w:rPr>
                <w:rFonts w:ascii="Arial" w:hAnsi="Arial" w:cs="Arial"/>
                <w:b/>
                <w:bCs/>
                <w:sz w:val="20"/>
                <w:szCs w:val="20"/>
              </w:rPr>
              <w:t>PHÓ CỤC TRƯỞNG</w:t>
            </w:r>
            <w:r w:rsidRPr="00076D3D">
              <w:rPr>
                <w:rFonts w:ascii="Arial" w:hAnsi="Arial" w:cs="Arial"/>
                <w:b/>
                <w:bCs/>
                <w:sz w:val="20"/>
                <w:szCs w:val="20"/>
              </w:rPr>
              <w:br/>
            </w:r>
            <w:r w:rsidRPr="00076D3D">
              <w:rPr>
                <w:rFonts w:ascii="Arial" w:hAnsi="Arial" w:cs="Arial"/>
                <w:b/>
                <w:bCs/>
                <w:sz w:val="20"/>
                <w:szCs w:val="20"/>
              </w:rPr>
              <w:br/>
            </w:r>
            <w:r w:rsidRPr="00076D3D">
              <w:rPr>
                <w:rFonts w:ascii="Arial" w:hAnsi="Arial" w:cs="Arial"/>
                <w:b/>
                <w:bCs/>
                <w:sz w:val="20"/>
                <w:szCs w:val="20"/>
              </w:rPr>
              <w:br/>
            </w:r>
            <w:r w:rsidRPr="00076D3D">
              <w:rPr>
                <w:rFonts w:ascii="Arial" w:hAnsi="Arial" w:cs="Arial"/>
                <w:b/>
                <w:bCs/>
                <w:sz w:val="20"/>
                <w:szCs w:val="20"/>
              </w:rPr>
              <w:br/>
            </w:r>
            <w:r w:rsidRPr="00076D3D">
              <w:rPr>
                <w:rFonts w:ascii="Arial" w:hAnsi="Arial" w:cs="Arial"/>
                <w:b/>
                <w:bCs/>
                <w:sz w:val="20"/>
                <w:szCs w:val="20"/>
              </w:rPr>
              <w:br/>
            </w:r>
            <w:r w:rsidRPr="00076D3D">
              <w:rPr>
                <w:rFonts w:ascii="Arial" w:hAnsi="Arial" w:cs="Arial"/>
                <w:b/>
                <w:bCs/>
                <w:sz w:val="20"/>
                <w:szCs w:val="20"/>
              </w:rPr>
              <w:br/>
            </w:r>
            <w:r w:rsidR="006710CE" w:rsidRPr="006710CE">
              <w:rPr>
                <w:rFonts w:ascii="Arial" w:hAnsi="Arial" w:cs="Arial"/>
                <w:b/>
                <w:bCs/>
                <w:sz w:val="20"/>
                <w:szCs w:val="20"/>
              </w:rPr>
              <w:t>Nguyễn Hồng Thái</w:t>
            </w:r>
          </w:p>
        </w:tc>
      </w:tr>
    </w:tbl>
    <w:p w:rsidR="00324643" w:rsidRPr="008F7AEB" w:rsidRDefault="00324643" w:rsidP="004F7F61">
      <w:pPr>
        <w:jc w:val="both"/>
        <w:rPr>
          <w:rFonts w:ascii="Arial" w:hAnsi="Arial" w:cs="Arial"/>
          <w:color w:val="auto"/>
          <w:sz w:val="20"/>
          <w:szCs w:val="20"/>
        </w:rPr>
      </w:pPr>
    </w:p>
    <w:sectPr w:rsidR="00324643" w:rsidRPr="008F7AEB" w:rsidSect="008F7AEB">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E40" w:rsidRDefault="00C87E40">
      <w:r>
        <w:separator/>
      </w:r>
    </w:p>
  </w:endnote>
  <w:endnote w:type="continuationSeparator" w:id="0">
    <w:p w:rsidR="00C87E40" w:rsidRDefault="00C8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E40" w:rsidRDefault="00C87E40"/>
  </w:footnote>
  <w:footnote w:type="continuationSeparator" w:id="0">
    <w:p w:rsidR="00C87E40" w:rsidRDefault="00C87E4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1A21AE"/>
    <w:multiLevelType w:val="multilevel"/>
    <w:tmpl w:val="8F368EA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4849C4"/>
    <w:multiLevelType w:val="multilevel"/>
    <w:tmpl w:val="3222D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43"/>
    <w:rsid w:val="00230665"/>
    <w:rsid w:val="00324643"/>
    <w:rsid w:val="003342B8"/>
    <w:rsid w:val="004F7F61"/>
    <w:rsid w:val="005A64D1"/>
    <w:rsid w:val="005D24FB"/>
    <w:rsid w:val="006501BF"/>
    <w:rsid w:val="006710CE"/>
    <w:rsid w:val="006D7CD8"/>
    <w:rsid w:val="008828DA"/>
    <w:rsid w:val="008F7AEB"/>
    <w:rsid w:val="00C87E40"/>
    <w:rsid w:val="00CE621A"/>
    <w:rsid w:val="00E4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BDA2"/>
  <w15:docId w15:val="{D007ABAB-4519-4FBA-92D3-01B84EBE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38"/>
      <w:szCs w:val="38"/>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iCs/>
      <w:smallCaps w:val="0"/>
      <w:strike w:val="0"/>
      <w:sz w:val="34"/>
      <w:szCs w:val="34"/>
      <w:u w:val="none"/>
      <w:shd w:val="clear" w:color="auto" w:fill="auto"/>
    </w:rPr>
  </w:style>
  <w:style w:type="paragraph" w:customStyle="1" w:styleId="Vnbnnidung0">
    <w:name w:val="Văn bản nội dung"/>
    <w:basedOn w:val="Normal"/>
    <w:link w:val="Vnbnnidung"/>
    <w:pPr>
      <w:spacing w:after="40"/>
      <w:ind w:firstLine="400"/>
    </w:pPr>
    <w:rPr>
      <w:rFonts w:ascii="Times New Roman" w:eastAsia="Times New Roman" w:hAnsi="Times New Roman" w:cs="Times New Roman"/>
      <w:i/>
      <w:iCs/>
      <w:sz w:val="28"/>
      <w:szCs w:val="28"/>
    </w:rPr>
  </w:style>
  <w:style w:type="paragraph" w:customStyle="1" w:styleId="Tiu10">
    <w:name w:val="Tiêu đề #1"/>
    <w:basedOn w:val="Normal"/>
    <w:link w:val="Tiu1"/>
    <w:pPr>
      <w:jc w:val="right"/>
      <w:outlineLvl w:val="0"/>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Vnbnnidung40">
    <w:name w:val="Văn bản nội dung (4)"/>
    <w:basedOn w:val="Normal"/>
    <w:link w:val="Vnbnnidung4"/>
    <w:rPr>
      <w:rFonts w:ascii="Times New Roman" w:eastAsia="Times New Roman" w:hAnsi="Times New Roman" w:cs="Times New Roman"/>
      <w:sz w:val="38"/>
      <w:szCs w:val="38"/>
    </w:rPr>
  </w:style>
  <w:style w:type="paragraph" w:customStyle="1" w:styleId="Vnbnnidung30">
    <w:name w:val="Văn bản nội dung (3)"/>
    <w:basedOn w:val="Normal"/>
    <w:link w:val="Vnbnnidung3"/>
    <w:rPr>
      <w:rFonts w:ascii="Times New Roman" w:eastAsia="Times New Roman" w:hAnsi="Times New Roman" w:cs="Times New Roman"/>
      <w:i/>
      <w:iCs/>
      <w:sz w:val="34"/>
      <w:szCs w:val="34"/>
    </w:rPr>
  </w:style>
  <w:style w:type="paragraph" w:styleId="NormalWeb">
    <w:name w:val="Normal (Web)"/>
    <w:basedOn w:val="Normal"/>
    <w:uiPriority w:val="99"/>
    <w:unhideWhenUsed/>
    <w:rsid w:val="008F7AEB"/>
    <w:pPr>
      <w:widowControl/>
      <w:spacing w:before="100" w:beforeAutospacing="1" w:after="100" w:afterAutospacing="1"/>
    </w:pPr>
    <w:rPr>
      <w:rFonts w:ascii="Times New Roman" w:eastAsia="Times New Roman" w:hAnsi="Times New Roman" w:cs="Times New Roman"/>
      <w:color w:val="auto"/>
      <w:lang w:val="en-US" w:eastAsia="zh-CN" w:bidi="ar-SA"/>
    </w:rPr>
  </w:style>
  <w:style w:type="character" w:customStyle="1" w:styleId="apple-tab-span">
    <w:name w:val="apple-tab-span"/>
    <w:basedOn w:val="DefaultParagraphFont"/>
    <w:rsid w:val="008F7AEB"/>
  </w:style>
  <w:style w:type="character" w:styleId="Hyperlink">
    <w:name w:val="Hyperlink"/>
    <w:basedOn w:val="DefaultParagraphFont"/>
    <w:uiPriority w:val="99"/>
    <w:unhideWhenUsed/>
    <w:rsid w:val="008F7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157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32970-HAN</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32970-HAN</dc:title>
  <dc:subject/>
  <dc:creator/>
  <cp:keywords/>
  <cp:lastModifiedBy>Nguyen Thi Thoa</cp:lastModifiedBy>
  <cp:revision>8</cp:revision>
  <dcterms:created xsi:type="dcterms:W3CDTF">2024-06-04T07:58:00Z</dcterms:created>
  <dcterms:modified xsi:type="dcterms:W3CDTF">2024-06-04T09:57:00Z</dcterms:modified>
</cp:coreProperties>
</file>