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11" w:rsidRPr="00DF2B11" w:rsidRDefault="00DF2B11" w:rsidP="00DF2B11">
      <w:pPr>
        <w:shd w:val="clear" w:color="auto" w:fill="FFFFFF"/>
        <w:spacing w:after="300" w:line="240" w:lineRule="auto"/>
        <w:ind w:firstLine="0"/>
        <w:jc w:val="center"/>
        <w:rPr>
          <w:rFonts w:ascii="Arial" w:eastAsia="Times New Roman" w:hAnsi="Arial" w:cs="Arial"/>
          <w:sz w:val="27"/>
          <w:szCs w:val="27"/>
        </w:rPr>
      </w:pPr>
      <w:r w:rsidRPr="00DF2B11">
        <w:rPr>
          <w:rFonts w:eastAsia="Times New Roman" w:cs="Times New Roman"/>
          <w:b/>
          <w:bCs/>
          <w:sz w:val="28"/>
          <w:szCs w:val="28"/>
        </w:rPr>
        <w:t>DANH SÁCH DỊCH</w:t>
      </w:r>
      <w:bookmarkStart w:id="0" w:name="_GoBack"/>
      <w:bookmarkEnd w:id="0"/>
      <w:r w:rsidRPr="00DF2B11">
        <w:rPr>
          <w:rFonts w:eastAsia="Times New Roman" w:cs="Times New Roman"/>
          <w:b/>
          <w:bCs/>
          <w:sz w:val="28"/>
          <w:szCs w:val="28"/>
        </w:rPr>
        <w:t xml:space="preserve"> VỤ CÔNG TRỰC TUYẾN</w:t>
      </w:r>
    </w:p>
    <w:p w:rsidR="00DF2B11" w:rsidRPr="00DF2B11" w:rsidRDefault="00DF2B11" w:rsidP="00DF2B11">
      <w:pPr>
        <w:shd w:val="clear" w:color="auto" w:fill="FFFFFF"/>
        <w:spacing w:after="300" w:line="240" w:lineRule="auto"/>
        <w:ind w:firstLine="0"/>
        <w:jc w:val="center"/>
        <w:rPr>
          <w:rFonts w:ascii="Arial" w:eastAsia="Times New Roman" w:hAnsi="Arial" w:cs="Arial"/>
          <w:sz w:val="27"/>
          <w:szCs w:val="27"/>
        </w:rPr>
      </w:pPr>
      <w:r w:rsidRPr="00DF2B11">
        <w:rPr>
          <w:rFonts w:eastAsia="Times New Roman" w:cs="Times New Roman"/>
          <w:b/>
          <w:bCs/>
          <w:sz w:val="28"/>
          <w:szCs w:val="28"/>
        </w:rPr>
        <w:t>TÍCH HỢP, CUNG CẤP TRÊN CỔNG DỊCH VỤ CÔNG QUỐC GIA</w:t>
      </w:r>
    </w:p>
    <w:p w:rsidR="00DF2B11" w:rsidRPr="00DF2B11" w:rsidRDefault="00DF2B11" w:rsidP="00DF2B11">
      <w:pPr>
        <w:shd w:val="clear" w:color="auto" w:fill="FFFFFF"/>
        <w:spacing w:after="300" w:line="240" w:lineRule="auto"/>
        <w:ind w:firstLine="0"/>
        <w:jc w:val="center"/>
        <w:rPr>
          <w:rFonts w:ascii="Arial" w:eastAsia="Times New Roman" w:hAnsi="Arial" w:cs="Arial"/>
          <w:sz w:val="27"/>
          <w:szCs w:val="27"/>
        </w:rPr>
      </w:pPr>
      <w:r w:rsidRPr="00DF2B11">
        <w:rPr>
          <w:rFonts w:ascii="Arial" w:eastAsia="Times New Roman" w:hAnsi="Arial" w:cs="Arial"/>
          <w:sz w:val="27"/>
          <w:szCs w:val="27"/>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6"/>
        <w:gridCol w:w="1879"/>
        <w:gridCol w:w="1341"/>
        <w:gridCol w:w="2202"/>
        <w:gridCol w:w="1625"/>
        <w:gridCol w:w="1701"/>
      </w:tblGrid>
      <w:tr w:rsidR="00DF2B11" w:rsidRPr="00DF2B11" w:rsidTr="00DF2B11">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D9E2F3"/>
            <w:noWrap/>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TT</w:t>
            </w:r>
          </w:p>
        </w:tc>
        <w:tc>
          <w:tcPr>
            <w:tcW w:w="0" w:type="auto"/>
            <w:tcBorders>
              <w:top w:val="single" w:sz="6" w:space="0" w:color="000000"/>
              <w:left w:val="nil"/>
              <w:bottom w:val="single" w:sz="6" w:space="0" w:color="000000"/>
              <w:right w:val="single" w:sz="6" w:space="0" w:color="000000"/>
            </w:tcBorders>
            <w:shd w:val="clear" w:color="auto" w:fill="D9E2F3"/>
            <w:noWrap/>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Tên DVC</w:t>
            </w:r>
          </w:p>
        </w:tc>
        <w:tc>
          <w:tcPr>
            <w:tcW w:w="0" w:type="auto"/>
            <w:tcBorders>
              <w:top w:val="single" w:sz="6" w:space="0" w:color="000000"/>
              <w:left w:val="nil"/>
              <w:bottom w:val="single" w:sz="6" w:space="0" w:color="000000"/>
              <w:right w:val="single" w:sz="6" w:space="0" w:color="000000"/>
            </w:tcBorders>
            <w:shd w:val="clear" w:color="auto" w:fill="D9E2F3"/>
            <w:noWrap/>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Lĩnh vực</w:t>
            </w:r>
          </w:p>
        </w:tc>
        <w:tc>
          <w:tcPr>
            <w:tcW w:w="0" w:type="auto"/>
            <w:tcBorders>
              <w:top w:val="single" w:sz="6" w:space="0" w:color="000000"/>
              <w:left w:val="nil"/>
              <w:bottom w:val="single" w:sz="6" w:space="0" w:color="000000"/>
              <w:right w:val="single" w:sz="6" w:space="0" w:color="000000"/>
            </w:tcBorders>
            <w:shd w:val="clear" w:color="auto" w:fill="D9E2F3"/>
            <w:noWrap/>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Cơ quan công khai</w:t>
            </w:r>
          </w:p>
        </w:tc>
        <w:tc>
          <w:tcPr>
            <w:tcW w:w="0" w:type="auto"/>
            <w:tcBorders>
              <w:top w:val="single" w:sz="6" w:space="0" w:color="000000"/>
              <w:left w:val="nil"/>
              <w:bottom w:val="single" w:sz="6" w:space="0" w:color="000000"/>
              <w:right w:val="single" w:sz="6" w:space="0" w:color="000000"/>
            </w:tcBorders>
            <w:shd w:val="clear" w:color="auto" w:fill="D9E2F3"/>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Cơ quan thực hiện</w:t>
            </w:r>
          </w:p>
        </w:tc>
        <w:tc>
          <w:tcPr>
            <w:tcW w:w="0" w:type="auto"/>
            <w:tcBorders>
              <w:top w:val="single" w:sz="6" w:space="0" w:color="000000"/>
              <w:left w:val="nil"/>
              <w:bottom w:val="single" w:sz="6" w:space="0" w:color="000000"/>
              <w:right w:val="single" w:sz="6" w:space="0" w:color="000000"/>
            </w:tcBorders>
            <w:shd w:val="clear" w:color="auto" w:fill="D9E2F3"/>
            <w:noWrap/>
            <w:tcMar>
              <w:top w:w="0" w:type="dxa"/>
              <w:left w:w="105" w:type="dxa"/>
              <w:bottom w:w="0" w:type="dxa"/>
              <w:right w:w="105" w:type="dxa"/>
            </w:tcMar>
            <w:vAlign w:val="center"/>
            <w:hideMark/>
          </w:tcPr>
          <w:p w:rsidR="00DF2B11" w:rsidRPr="00DF2B11" w:rsidRDefault="00DF2B11" w:rsidP="00DF2B11">
            <w:pPr>
              <w:spacing w:after="120" w:line="240" w:lineRule="auto"/>
              <w:ind w:firstLine="0"/>
              <w:jc w:val="center"/>
              <w:rPr>
                <w:rFonts w:ascii="Arial" w:eastAsia="Times New Roman" w:hAnsi="Arial" w:cs="Arial"/>
                <w:sz w:val="27"/>
                <w:szCs w:val="27"/>
              </w:rPr>
            </w:pPr>
            <w:r w:rsidRPr="00DF2B11">
              <w:rPr>
                <w:rFonts w:eastAsia="Times New Roman" w:cs="Times New Roman"/>
                <w:b/>
                <w:bCs/>
                <w:sz w:val="24"/>
                <w:szCs w:val="24"/>
              </w:rPr>
              <w:t>Cấp thực hiện</w:t>
            </w:r>
          </w:p>
        </w:tc>
      </w:tr>
      <w:tr w:rsidR="00DF2B11" w:rsidRPr="00DF2B11" w:rsidTr="00DF2B11">
        <w:trPr>
          <w:trHeight w:val="690"/>
        </w:trPr>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thẻ BHYT do hỏng, mất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sổ bảo hiểm xã hội, thẻ bảo hiểm y tế (Bảo hiểm xã hội)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Bảo hiểm xã hội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Bảo hiểm xã hội cấp huyện; Bảo hiểm xã hội tỉnh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 Cấp Huyện</w:t>
            </w:r>
          </w:p>
        </w:tc>
      </w:tr>
      <w:tr w:rsidR="00DF2B11" w:rsidRPr="00DF2B11" w:rsidTr="00DF2B11">
        <w:trPr>
          <w:trHeight w:val="690"/>
        </w:trPr>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Gia hạn Giấy chứng nhận đăng ký quyền xuất khẩu, quyền nhập khẩu của thương nhân nước ngoài không có hiện diện tại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sửa đổi, bổ sung Giấy chứng nhận đăng ký quyền xuất khẩu, quyền nhập khẩu của thương nhân nước ngoài không có hiện diện tại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kinh doanh xuất khẩu, nhập khẩu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phép phân phối rượu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kinh doanh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kinh doanh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kinh doanh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sửa đổi, bổ sung/ cấp lại Giấy phép kinh doanh tạm nhập, tái xuất; Giấy phép tạm nhập, tái xuất; Giấy phép tạm xuất, tái nhập; Giấy phép kinh doanh chuyển khẩu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sản xuất hóa chất bảng 2, hóa chất bảng 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sản xuất hóa chất bảng 2, hóa chất bảng 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sản xuất hóa chất DOC, DOC-PSF</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hoạt động phát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hoạt động tư vấn chuyên ngành điện lực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sản xuất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phân phối rượu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sản xuất hóa chất DOC,DOC-PSF</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bổ sung, sửa đổi Giấy chứng nhận đăng ký hoạt động kiểm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đăng ký hoạt động kiểm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sản xuất hóa chất DOC,DOC-PSF</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sản xuất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phép hoạt động phát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hoạt động truyền tải điện, phân phối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Cấp sửa đổi, bổ sung giấy phép hoạt động truyền </w:t>
            </w:r>
            <w:r w:rsidRPr="00DF2B11">
              <w:rPr>
                <w:rFonts w:eastAsia="Times New Roman" w:cs="Times New Roman"/>
                <w:color w:val="000000"/>
                <w:sz w:val="22"/>
              </w:rPr>
              <w:lastRenderedPageBreak/>
              <w:t>tải điện, phân phối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25.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sản xuất hóa chất hạn chế sản xuất, kinh doanh trong lĩnh vực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sản xuất hóa chất Bảng 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sửa đổi bổ sung Giấy chứng nhận đăng ký hoạt động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29.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đăng ký hoạt động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sản xuất hóa chất Bảng 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Gia hạn Giấy chứng nhận đăng ký hoạt động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sản xuất hóa chất Bảng 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hoạt động bán buôn điện, bán lẻ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kinh doanh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Vật liệu nổ công nghiệp, tiền chất thuốc nổ (Bộ </w:t>
            </w:r>
            <w:r w:rsidRPr="00DF2B11">
              <w:rPr>
                <w:rFonts w:eastAsia="Times New Roman" w:cs="Times New Roman"/>
                <w:color w:val="000000"/>
                <w:sz w:val="22"/>
              </w:rPr>
              <w:lastRenderedPageBreak/>
              <w:t>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35.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chấm dứt hoạt động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Cấp sửa đổi, bổ sung giấy phép hoạt động bán buôn điện, bán lẻ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sản xuất hóa chất bảng 2, bảng 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Cấp điều chỉnh Giấy chứng nhận đủ điều kiện sản xuất vật liệu nổ công nghiệp thuộc thẩm quyền giải quyết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39.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Công nhận chương trình đào tạo kiến thức pháp luật về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kinh doanh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Thẩm định, phê duyệt Kế hoạch phòng ngừa, ứng phó sự cố hóa chất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Hóa chất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giáp lưng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43.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thành lập Sở giao dịch hàng hóa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giao dịch hàng hóa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CPTPP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thành phố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Cấp sửa đổi, bổ sung giấy phép hoạt động tư vấn chuyên ngành điện lực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an toàn thực phẩm đối với cơ sở sản xuất, cơ sở vừa sản xuất vừa kinh doanh thực phẩm do Bộ Công Thương thực hiện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thực phẩm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phép thành lập Sở Giao dịch hàng hóa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giao dịch hàng hóa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phân phối rượu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đủ điều kiện an toàn thực phẩm đối với cơ sở sản xuất, cơ sở vừa sản xuất vừa kinh doanh sản phẩm thực phẩm do Bộ Công Thương thực hiện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thực phẩm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50.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kinh doanh nhập khẩu ô tô</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đổi Giấy phép kinh doanh nhập khẩu ô tô</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kinh doanh nhập khẩu ô tô</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dịch vụ nổ mìn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dịch vụ nổ mìn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xác nhận đủ điều kiện làm tổng đại lý kinh doanh xăng dầu (có hệ thống phân phối xăng dầu trên địa bàn 2 tỉnh, thành phố trực thuộc Trung ương trở lên)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xác nhận đủ điều kiện làm tổng đại lý kinh doanh xăng dầu (có hệ thống phân phối xăng dầu trên địa bàn 2 tỉnh, thành phố trực thuộc Trung ương trở lên)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57.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xác nhận đủ điều kiện làm tổng đại lý kinh doanh xăng dầu (có hệ thống phân phối xăng dầu trên địa bàn 2 tỉnh, thành phố trực thuộc Trung ương trở lên)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xuất xứ hàng hoá (C/O)</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Các Chi nhánh, các tổ chức cấp C/O trực thuộc Phòng Thương mại và Công nghiệp Việt Nam (VCCI);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cấp sau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cho hàng hóa xuất khẩu, nhập khẩu từ doanh nghiệp chế xuất, khu chế xuất, kho ngoại quan, khu phi thuế quan và các khu vực hải quan riêng khác có quan hệ xuất nhập khẩu với nội địa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phân phối sản phẩm thuốc lá</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phép phân phối sản phẩm thuốc lá</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cho hàng hóa gửi kho ngoại quan đến các nước thành viên theo Điều ước quốc tế mà Việt Nam ký kết hoặc gia nhập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hoạt động chứng nhận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bổ sung, sửa đổi Giấy chứng nhận đăng ký hoạt động chứng nhận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công nghệ, Môi trường và Hợp tác quốc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đăng ký hoạt động chứng nhận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hoạt động thử nghiệm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68.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bổ sung, sửa đổi Giấy chứng nhận đăng ký hoạt động thử nghiệm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69.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đăng ký hoạt động thử nghiệm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hoạt động kiểm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phân phối sản phẩm thuốc lá</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bố sung Giấy phép kinh doanh xuất khẩu, nhập khẩu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kinh doanh xuất khẩu, nhập khẩu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xác nhận đủ điều kiện làm thương nhân phân phối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thẻ Kiểm tra viên điện lực cho các đối tượng thuộc thẩm quyền cấp của Cục Điều tiết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xác nhận đủ điều kiện làm thương nhân phân phối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Cấp thẻ Kiểm tra viên điện lực cho các đối tượng thuộc thẩm quyền cấp của Cục Điều tiết điện lực trường </w:t>
            </w:r>
            <w:r w:rsidRPr="00DF2B11">
              <w:rPr>
                <w:rFonts w:eastAsia="Times New Roman" w:cs="Times New Roman"/>
                <w:color w:val="000000"/>
                <w:sz w:val="22"/>
              </w:rPr>
              <w:lastRenderedPageBreak/>
              <w:t>hợp thẻ bị mất hoặc bị hỏng thẻ</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78.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sửa đổi, bổ sung Giấy xác nhận đủ điều kiện làm thương nhân phân phối xăng dầu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Lưu thông hàng hóa trong nước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79.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chứng nhận đủ điều kiện sản xuất tiền chất thuốc nổ sử dụng để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tạm nhập, tái xuất theo hình thức khác đối với hàng hóa thuộc diện xuất khẩu, nhập khẩu theo giấy phép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đổi Giấy phép kinh doanh tiền chất thuốc nổ sử dụng để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kinh doanh tiền chất thuốc nổ sử dụng để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cấp Giấy phép tạm xuất, tái nhập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85.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cấp Giấy phép kinh doanh chuyển khẩu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hoạt động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Cạnh tranh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cấp Giấy chứng nhận đăng ký hoạt động giám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bổ sung, sửa đổi Giấy chứng nhận đăng ký hoạt động giám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89.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xác nhận kiến thức pháp luật về bán hàng đa cấp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Cạnh tranh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hoạt động kiểm định kỹ thuật an toàn lao động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vệ sinh lao động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Cấp Giấy chứng nhận xuất xứ hàng hoá (C/O) ưu đãi mẫu AI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E</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Phòng Quản lý Xuất Nhập khẩu khu vực; Ban Quản Lý khu Kinh tế Hà Giang - Tỉnh Hà Giang; Sở Công Thương - TP </w:t>
            </w:r>
            <w:r w:rsidRPr="00DF2B11">
              <w:rPr>
                <w:rFonts w:eastAsia="Times New Roman" w:cs="Times New Roman"/>
                <w:color w:val="000000"/>
                <w:sz w:val="22"/>
              </w:rPr>
              <w:lastRenderedPageBreak/>
              <w:t>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93.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AANZ</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VJ</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các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S</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Cấp Giấy chứng nhận xuất xứ hàng hoá (C/O) ưu đãi mẫu D</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Ban Quản lý Khu công nghiệp và Chế xuất; Sở Công Thương - TP Hải Phòng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VC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98.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điều chỉnh nội dung Giấy chứng nhận đủ điều kiện kinh doanh xuất khẩu gạo</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99.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X</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AK</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đăng ký hoạt động giám định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Tiêu chuẩn đo lường chất lượng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Khoa học -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thành lập Sở giao dịch hàng hóa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giao dịch hàng hóa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hợp đồng theo mẫu, điều kiện giao dịch chung thuộc thẩm quyền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Cạnh tranh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Cạnh tranh và Bảo vệ người tiêu dùng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kinh doanh tiền chất thuốc nổ sử dụng để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105.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kinh doanh tiền chất thuốc nổ sử dụng để sản xuất vật liệu nổ công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Hóa chất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một chiều mẫu A (cho mặt hàng giày dép xuất khẩu sang thị trường EU)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Công thương; Phòng Quản lý Xuất Nhập khẩu khu vực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Phê duyệt chủ trương mua bán điện với nước ngoài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Điện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Điều tiết điện lực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điều chỉnh Giấy phép dịch vụ nổ mìn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Vật liệu nổ công nghiệp, tiền chất thuốc nổ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109.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AJ</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VK</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Quản lý Xuất Nhập khẩu khu vực; Sở Công Thương - TP Hải Phòng;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Cấp gia hạn Giấy chứng nhận đủ điều kiện hoạt động kiểm định kỹ thuật an toàn lao động thuộc thẩm </w:t>
            </w:r>
            <w:r w:rsidRPr="00DF2B11">
              <w:rPr>
                <w:rFonts w:eastAsia="Times New Roman" w:cs="Times New Roman"/>
                <w:color w:val="000000"/>
                <w:sz w:val="22"/>
              </w:rPr>
              <w:lastRenderedPageBreak/>
              <w:t>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An toàn vệ sinh lao động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112.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chứng thư xuất khẩu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Nhượng quyền thương mại từ nước ngoài vào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Kế hoạch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đủ điều kiện hoạt động kiểm định kỹ thuật an toàn lao động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vệ sinh lao động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xuất xứ hàng hoá (C/O) ưu đãi mẫu EAV</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Công thương; Phòng Quản lý Xuất Nhập khẩu khu vực; Ban Quản lý các Khu công nghiệp và Chế xuất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Thông báo thay đổi đăng ký Nhượng quyền thương mại từ nước ngoài vào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Kế hoạch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chứng chỉ kiểm định viên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vệ sinh lao động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phép nhập khẩu tự động thuốc lá điếu, xì gà</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Công nghiệp tiêu dùng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119.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hoạt động khuyến mại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Xúc tiến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Xúc tiến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120.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sửa đổi, bổ sung nội dung tổ chức hội chợ, triển lãm thương mại tại nước ngoài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Xúc tiến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Xúc tiến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quyền xuất khẩu, quyền nhập khẩu của thương nhân nước ngoài không có hiện diện tại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an toàn thực phẩm đối với cơ sở kinh doanh thực phẩm do Bộ Công Thương thực hiện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thực phẩm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chứng nhận đủ điều kiện an toàn thực phẩm đối với cơ sở kinh doanh thực phẩm do Bộ Công Thương thực hiện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thực phẩm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đủ điều kiện kinh doanh xuất khẩu gạo</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Xuất nhập khẩu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Xuất nhập khẩu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Bổ sung lượng hàng hóa được miễn trừ áp dụng biện pháp phòng vệ thương mại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vệ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Phòng vệ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Phê chuẩn Điều lệ hoạt động sửa đổi, bổ sung của Sở Giao dịch hàng hóa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giao dịch hàng hóa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Vụ Thị trường trong nước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Khai báo nhập khẩu đối với hàng hóa bị điều tra áp dụng biện pháp </w:t>
            </w:r>
            <w:r w:rsidRPr="00DF2B11">
              <w:rPr>
                <w:rFonts w:eastAsia="Times New Roman" w:cs="Times New Roman"/>
                <w:color w:val="000000"/>
                <w:sz w:val="22"/>
              </w:rPr>
              <w:lastRenderedPageBreak/>
              <w:t>phòng vệ thương mại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Phòng vệ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Phòng vệ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128.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Miễn trừ áp dụng biện pháp phòng vệ thương mại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Phòng vệ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Phòng vệ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129.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chứng chỉ kiểm định viên thuộc thẩm quyền cấp của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An toàn vệ sinh lao động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Kỹ thuật an toàn và Môi trường công nghiệp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tổ chức Hội chợ, Triển lãm thương mại ở nước ngoài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Xúc tiến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Xúc tiến thương mại -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Giấy phép lái tàu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Đường sắt (Bộ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Đường sắt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Đổi giấy phép lái xe</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Đường bộ (Bộ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Tổng cục Đường bộ Việt Nam; Sở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lái xe quốc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Đường bộ (Bộ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Tổng cục Đường bộ Việt Nam; Sở Giao thông vận tải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Xác nhận chuyên gia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Đầu tư bằng nguồn vốn hỗ trợ phát triển chính thức (ODA) (Bộ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chủ quản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chứng chỉ hành nghề hoạt động đấu thầu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Đấu thầu (Bộ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Thay đổi, bổ sung các thông tin của nhà thầu, nhà đầu tư đăng ký tham gia vào Hệ thống </w:t>
            </w:r>
            <w:r w:rsidRPr="00DF2B11">
              <w:rPr>
                <w:rFonts w:eastAsia="Times New Roman" w:cs="Times New Roman"/>
                <w:color w:val="000000"/>
                <w:sz w:val="22"/>
              </w:rPr>
              <w:lastRenderedPageBreak/>
              <w:t>mạng đấu thầu quốc gia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Đấu thầu (Bộ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Kế hoạch và Đầu tư</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137.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chứng nhận đăng ký hoạt động lần đầu cho tổ chức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Khoa học và công nghệ (Bộ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Văn phòng Đăng ký hoạt động khoa học và công nghệ - bộ Khoa học và Công nghệ</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hợp đồng cung ứng lao động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lao động ngoài nước (Bộ Lao động - Thương Binh và Xã hội)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Lao động - Thương binh và Xã hội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Quản lý Lao động ngoài nước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139.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phép kiểm dịch thực vật nhập khẩu</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Bảo vệ thực vật (Bộ Nông nghiệp và Phát triển nông thôn)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Nông nghiệp và Phát triển nông thôn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Bảo vệ thực vật - Bộ NN-PTNT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mã số đơn vị có quan hệ với Ngân sách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Tin học - Thống kê (Bộ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Cục Tin học và Thống kê tài chính - Bộ tài chính; Sở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huỷ tờ khai hải quan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Hải quan (Bộ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Chi cục Hải quan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 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Thủ tục khai bổ sung hồ sơ hải quan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Hải quan (Bộ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Chi cục Hải quan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 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Phiếu lý lịch tư pháp cho cơ quan tiến hành tố tụng (đối tượng là công dân Việt Nam không xác định được nơi thường trú hoặc nơi tạm trú, người nước ngoài đã cư trú tại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Lý lịch tư pháp (Bộ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Trung tâm Lý lịch tư pháp quốc gia</w:t>
            </w:r>
          </w:p>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58 tỉnh, thành phố (trừ các tỉnh, thành phố: Thái nguyên, Đà Nẵng, Quảng Nam, Tây Ninh, ,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ascii="Arial" w:eastAsia="Times New Roman" w:hAnsi="Arial" w:cs="Arial"/>
                <w:color w:val="1E2F41"/>
                <w:sz w:val="27"/>
                <w:szCs w:val="27"/>
              </w:rPr>
              <w:t> </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Cấp Phiếu lý lịch tư pháp cho cơ quan nhà nước, tổ chức chính trị, tổ </w:t>
            </w:r>
            <w:r w:rsidRPr="00DF2B11">
              <w:rPr>
                <w:rFonts w:eastAsia="Times New Roman" w:cs="Times New Roman"/>
                <w:color w:val="000000"/>
                <w:sz w:val="22"/>
              </w:rPr>
              <w:lastRenderedPageBreak/>
              <w:t>chức chính trị - xã hội (đối tượng là công dân Việt Nam không xác định được nơi thường trú hoặc nơi tạm trú)</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Lý lịch tư pháp (Bộ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Trung tâm Lý lịch tư pháp quốc gia</w:t>
            </w:r>
          </w:p>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58 tỉnh, thành phố (trừ các tỉnh, thành phố: Thái nguyên, Đà Nẵng, Quảng Nam, Tây Ninh, ,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ascii="Arial" w:eastAsia="Times New Roman" w:hAnsi="Arial" w:cs="Arial"/>
                <w:color w:val="1E2F41"/>
                <w:sz w:val="27"/>
                <w:szCs w:val="27"/>
              </w:rPr>
              <w:lastRenderedPageBreak/>
              <w:t> </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145.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phiếu lý lịch tư pháp cho người nước ngoài đã cư trú tại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Lý lịch tư pháp (Bộ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Trung tâm Lý lịch tư pháp quốc gia</w:t>
            </w:r>
          </w:p>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58 tỉnh, thành phố (trừ các tỉnh, thành phố: Thái nguyên, Đà Nẵng, Quảng Nam, Tây Ninh, ,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ascii="Arial" w:eastAsia="Times New Roman" w:hAnsi="Arial" w:cs="Arial"/>
                <w:color w:val="1E2F41"/>
                <w:sz w:val="27"/>
                <w:szCs w:val="27"/>
              </w:rPr>
              <w:t> </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lại chứng chỉ hành nghề hoạt động xây dựng hạng I (trường hợp chứng chỉ mất, hư hỏng, hết hạn)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hoạt động xây dựng (Bộ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chứng chỉ hành nghề hoạt động xây dựng hạng 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Quản lý hoạt động xây dựng (Bộ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Xây dựng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giấy xác nhận nội dung quảng cáo trang thiết bị y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Trang thiết bị và công trình y tế (Bộ Y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Y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Y tế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149.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hình thức thanh toán tiền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Chấm dứt Hợp đồng mua bán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151.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Gia hạn Hợp đồng mua bán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thông tin đã đăng ký</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chủ thể Hợp đồng mua bán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định mức sử dụng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mục đích sử dụng điện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vị trí thiết bị đo đếm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Thay đổi công suất sử dụng điện/thay đổi loại công tơ 01 pha, 03 pha</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trong quá trình thực hiện HĐMBĐ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158.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 xml:space="preserve">Dịch vụ cấp điện mới từ lưới điện trung áp (cấp điện áp 6kV, 10kV, </w:t>
            </w:r>
            <w:r w:rsidRPr="00DF2B11">
              <w:rPr>
                <w:rFonts w:eastAsia="Times New Roman" w:cs="Times New Roman"/>
                <w:color w:val="000000"/>
                <w:sz w:val="22"/>
              </w:rPr>
              <w:lastRenderedPageBreak/>
              <w:t>15kV, 22kV, 35kV)</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Dịch vụ cung cấp điện mới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159.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điện mới từ lưới điện hạ 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Dịch vụ cung cấp điện mới (Điện Lực)</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Tập đoàn Điện lực Việt Nam</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khác</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Nộp tiền phạt xử lý vi phạm hành chính lĩnh vực giao thông đường bộ</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Xử lý vi phạm hành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an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TP Hà Nội, TP Hồ Chí Minh, TP Đà Nẵng, TP Hải Phòng, Bình Thuận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Cảnh sát giao thông</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Nộp lệ phí trước bạ xe ô tô, xe gắn máy</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TP Hồ Chí Minh, TP Hà Nội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Nộp thuế cá nhân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Nộp thuế môn bài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Nộp thuế doanh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Tài chính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Cơ quan 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bộ; cấp tỉnh; cấp huyện</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khai sinh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Hộ tịch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Tư pháp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45 tỉnh, thành phố (trừ các tỉnh, thành phố: Cao Bằng; Điện Biên; Sơn La; Quảng Trị; Thừa Thiên Huế; Quảng Nam; Khánh Hòa; Ninh Thuận; Gia Lai; Cần Thơ; Sóc Trăng; Bạc Liêu; Cà Mau; Thái nguyên, Bắc Giang Bình Duong, Bến Tre,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xã</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166.</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Đăng ký khai tử</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Hộ tịch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UBND TP Hà Nội,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Hà Nội, Đồng Tháp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xã</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167.</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bản sao trích lục hộ tịch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Hộ tịch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UBND TP Hà Nội, An Giang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Hà Nội, An Giang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xã</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168.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Thông báo hoạt động khuyến mại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Xúc tiến thương mại (Bộ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Bộ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Sở Công Thương</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tỉnh</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lastRenderedPageBreak/>
              <w:t>169.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Liên thông đăng ký khai sinh, cấp thẻ bảo hiểm y tế cho trẻ dưới 6 tuổi</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Hộ tịch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UBND TP Hồ Chí Minh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Ủy ban Nhân dân xã, phường, thị trấn.; Bảo hiểm xã hội cấp huyện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xã</w:t>
            </w:r>
          </w:p>
        </w:tc>
      </w:tr>
      <w:tr w:rsidR="00DF2B11" w:rsidRPr="00DF2B11" w:rsidTr="00DF2B11">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170.</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Liên thông đăng ký hộ kinh doanh và đăng ký thuế</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Thành lập và hoạt động doanh nghiệp</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UBND TP Hồ Chí Minh</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huyện</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F2B11" w:rsidRPr="00DF2B11" w:rsidRDefault="00DF2B11" w:rsidP="00DF2B11">
            <w:pPr>
              <w:spacing w:after="120" w:line="240" w:lineRule="auto"/>
              <w:ind w:firstLine="0"/>
              <w:rPr>
                <w:rFonts w:ascii="Arial" w:eastAsia="Times New Roman" w:hAnsi="Arial" w:cs="Arial"/>
                <w:color w:val="1E2F41"/>
                <w:sz w:val="27"/>
                <w:szCs w:val="27"/>
              </w:rPr>
            </w:pPr>
            <w:r w:rsidRPr="00DF2B11">
              <w:rPr>
                <w:rFonts w:eastAsia="Times New Roman" w:cs="Times New Roman"/>
                <w:color w:val="000000"/>
                <w:sz w:val="22"/>
              </w:rPr>
              <w:t>Cấp huyện</w:t>
            </w:r>
          </w:p>
        </w:tc>
      </w:tr>
    </w:tbl>
    <w:p w:rsidR="00DF2B11" w:rsidRPr="00DF2B11" w:rsidRDefault="00DF2B11" w:rsidP="00DF2B11">
      <w:pPr>
        <w:shd w:val="clear" w:color="auto" w:fill="FFFFFF"/>
        <w:spacing w:after="165" w:line="240" w:lineRule="auto"/>
        <w:ind w:firstLine="0"/>
        <w:rPr>
          <w:rFonts w:ascii="Arial" w:eastAsia="Times New Roman" w:hAnsi="Arial" w:cs="Arial"/>
          <w:color w:val="1E2F41"/>
          <w:sz w:val="27"/>
          <w:szCs w:val="27"/>
        </w:rPr>
      </w:pPr>
      <w:r w:rsidRPr="00DF2B11">
        <w:rPr>
          <w:rFonts w:ascii="Arial" w:eastAsia="Times New Roman" w:hAnsi="Arial" w:cs="Arial"/>
          <w:color w:val="1E2F41"/>
          <w:sz w:val="27"/>
          <w:szCs w:val="27"/>
        </w:rPr>
        <w:t> </w:t>
      </w:r>
    </w:p>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11"/>
    <w:rsid w:val="0005382B"/>
    <w:rsid w:val="00485743"/>
    <w:rsid w:val="00D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A92A4-9EA1-4D1B-8E16-11A418D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11"/>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9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4730</Words>
  <Characters>26962</Characters>
  <Application>Microsoft Office Word</Application>
  <DocSecurity>0</DocSecurity>
  <Lines>224</Lines>
  <Paragraphs>63</Paragraphs>
  <ScaleCrop>false</ScaleCrop>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2023-11-10T02:31:00Z</dcterms:created>
  <dcterms:modified xsi:type="dcterms:W3CDTF">2023-11-10T02:32:00Z</dcterms:modified>
</cp:coreProperties>
</file>