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1297D" w14:textId="0042BD0E" w:rsidR="00283BDF" w:rsidRPr="004A4D14" w:rsidRDefault="008D34B8" w:rsidP="00E71F66">
      <w:pPr>
        <w:spacing w:after="0" w:line="240" w:lineRule="auto"/>
        <w:jc w:val="center"/>
        <w:rPr>
          <w:rFonts w:ascii="Times New Roman" w:hAnsi="Times New Roman"/>
          <w:b/>
          <w:sz w:val="28"/>
          <w:szCs w:val="28"/>
          <w:lang w:val="en-US"/>
        </w:rPr>
      </w:pPr>
      <w:bookmarkStart w:id="0" w:name="_Hlk143865116"/>
      <w:r>
        <w:rPr>
          <w:rFonts w:ascii="Times New Roman" w:hAnsi="Times New Roman"/>
          <w:b/>
          <w:sz w:val="28"/>
          <w:szCs w:val="28"/>
          <w:lang w:val="en-US"/>
        </w:rPr>
        <w:t>P</w:t>
      </w:r>
      <w:r w:rsidR="00283BDF" w:rsidRPr="004A4D14">
        <w:rPr>
          <w:rFonts w:ascii="Times New Roman" w:hAnsi="Times New Roman"/>
          <w:b/>
          <w:sz w:val="28"/>
          <w:szCs w:val="28"/>
          <w:lang w:val="en-US"/>
        </w:rPr>
        <w:t>HỤ LỤC</w:t>
      </w:r>
    </w:p>
    <w:bookmarkEnd w:id="0"/>
    <w:p w14:paraId="39E1711C" w14:textId="27EFDD68" w:rsidR="00283BDF" w:rsidRPr="004A4D14" w:rsidRDefault="00CA2C04" w:rsidP="00283BD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Các vấn đề xin ý kiến</w:t>
      </w:r>
      <w:r w:rsidR="00283BDF" w:rsidRPr="004A4D14">
        <w:rPr>
          <w:rFonts w:ascii="Times New Roman" w:hAnsi="Times New Roman"/>
          <w:b/>
          <w:sz w:val="28"/>
          <w:szCs w:val="28"/>
          <w:lang w:val="en-US"/>
        </w:rPr>
        <w:t xml:space="preserve"> </w:t>
      </w:r>
    </w:p>
    <w:p w14:paraId="27505277" w14:textId="77777777" w:rsidR="00283BDF" w:rsidRPr="004A4D14" w:rsidRDefault="00283BDF" w:rsidP="00283BDF">
      <w:pPr>
        <w:spacing w:before="120" w:after="360"/>
        <w:jc w:val="center"/>
        <w:rPr>
          <w:rFonts w:ascii="Times New Roman" w:hAnsi="Times New Roman"/>
          <w:i/>
          <w:noProof/>
          <w:sz w:val="24"/>
          <w:szCs w:val="24"/>
        </w:rPr>
      </w:pPr>
      <w:bookmarkStart w:id="1" w:name="_Hlk143865107"/>
      <w:r w:rsidRPr="004A4D14">
        <w:rPr>
          <w:rFonts w:ascii="Times New Roman" w:hAnsi="Times New Roman"/>
          <w:i/>
          <w:noProof/>
          <w:sz w:val="24"/>
          <w:szCs w:val="24"/>
        </w:rPr>
        <w:t>(Gửi kèm theo văn bản số       /BKHĐT-QLĐT ngày     /</w:t>
      </w:r>
      <w:r w:rsidR="00CA2C04">
        <w:rPr>
          <w:rFonts w:ascii="Times New Roman" w:hAnsi="Times New Roman"/>
          <w:i/>
          <w:noProof/>
          <w:sz w:val="24"/>
          <w:szCs w:val="24"/>
          <w:lang w:val="en-US"/>
        </w:rPr>
        <w:t xml:space="preserve">   </w:t>
      </w:r>
      <w:r w:rsidRPr="004A4D14">
        <w:rPr>
          <w:rFonts w:ascii="Times New Roman" w:hAnsi="Times New Roman"/>
          <w:i/>
          <w:noProof/>
          <w:sz w:val="24"/>
          <w:szCs w:val="24"/>
        </w:rPr>
        <w:t>/202</w:t>
      </w:r>
      <w:r w:rsidR="00CA2C04">
        <w:rPr>
          <w:rFonts w:ascii="Times New Roman" w:hAnsi="Times New Roman"/>
          <w:i/>
          <w:noProof/>
          <w:sz w:val="24"/>
          <w:szCs w:val="24"/>
          <w:lang w:val="en-US"/>
        </w:rPr>
        <w:t>4</w:t>
      </w:r>
      <w:r w:rsidRPr="004A4D14">
        <w:rPr>
          <w:rFonts w:ascii="Times New Roman" w:hAnsi="Times New Roman"/>
          <w:i/>
          <w:noProof/>
          <w:sz w:val="24"/>
          <w:szCs w:val="24"/>
        </w:rPr>
        <w:t xml:space="preserve"> của </w:t>
      </w:r>
      <w:r w:rsidRPr="004A4D14">
        <w:rPr>
          <w:rFonts w:ascii="Times New Roman" w:hAnsi="Times New Roman"/>
          <w:i/>
          <w:sz w:val="24"/>
          <w:szCs w:val="24"/>
        </w:rPr>
        <w:t>Bộ Kế hoạch và Đầu tư</w:t>
      </w:r>
      <w:r w:rsidRPr="004A4D14">
        <w:rPr>
          <w:rFonts w:ascii="Times New Roman" w:hAnsi="Times New Roman"/>
          <w:i/>
          <w:noProof/>
          <w:sz w:val="24"/>
          <w:szCs w:val="24"/>
        </w:rPr>
        <w:t>)</w:t>
      </w:r>
    </w:p>
    <w:bookmarkEnd w:id="1"/>
    <w:p w14:paraId="442A328B" w14:textId="77777777" w:rsidR="001272FD" w:rsidRPr="001272FD" w:rsidRDefault="001272FD" w:rsidP="001272FD">
      <w:pPr>
        <w:spacing w:before="120" w:after="120" w:line="264" w:lineRule="auto"/>
        <w:ind w:firstLine="720"/>
        <w:jc w:val="both"/>
        <w:rPr>
          <w:rFonts w:ascii="Times New Roman" w:hAnsi="Times New Roman"/>
          <w:b/>
          <w:bCs/>
          <w:spacing w:val="4"/>
          <w:sz w:val="14"/>
          <w:szCs w:val="14"/>
          <w:lang w:val="en-US"/>
        </w:rPr>
      </w:pPr>
    </w:p>
    <w:p w14:paraId="4DD8DEE9" w14:textId="23EFDE27" w:rsidR="00722052" w:rsidRPr="00CA4C33" w:rsidRDefault="00722052" w:rsidP="00E06D53">
      <w:pPr>
        <w:spacing w:before="120" w:after="120" w:line="257" w:lineRule="auto"/>
        <w:ind w:firstLine="720"/>
        <w:jc w:val="both"/>
        <w:rPr>
          <w:rFonts w:ascii="Times New Roman" w:hAnsi="Times New Roman"/>
          <w:b/>
          <w:bCs/>
          <w:spacing w:val="4"/>
          <w:sz w:val="28"/>
          <w:szCs w:val="28"/>
          <w:lang w:val="en-US"/>
        </w:rPr>
      </w:pPr>
      <w:r w:rsidRPr="00CA4C33">
        <w:rPr>
          <w:rFonts w:ascii="Times New Roman" w:hAnsi="Times New Roman"/>
          <w:b/>
          <w:bCs/>
          <w:spacing w:val="4"/>
          <w:sz w:val="28"/>
          <w:szCs w:val="28"/>
          <w:lang w:val="en-US"/>
        </w:rPr>
        <w:t xml:space="preserve">1. Về </w:t>
      </w:r>
      <w:r w:rsidR="00A81EDD" w:rsidRPr="00CA4C33">
        <w:rPr>
          <w:rFonts w:ascii="Times New Roman" w:hAnsi="Times New Roman"/>
          <w:b/>
          <w:bCs/>
          <w:spacing w:val="4"/>
          <w:sz w:val="28"/>
          <w:szCs w:val="28"/>
          <w:lang w:val="en-US"/>
        </w:rPr>
        <w:t xml:space="preserve">việc bổ sung </w:t>
      </w:r>
      <w:r w:rsidRPr="00CA4C33">
        <w:rPr>
          <w:rFonts w:ascii="Times New Roman" w:hAnsi="Times New Roman"/>
          <w:b/>
          <w:bCs/>
          <w:spacing w:val="4"/>
          <w:sz w:val="28"/>
          <w:szCs w:val="28"/>
          <w:lang w:val="en-US"/>
        </w:rPr>
        <w:t>một trong các hành vi hạn chế sự tham gia của nhà thầu</w:t>
      </w:r>
    </w:p>
    <w:p w14:paraId="13EC78F3" w14:textId="34DB807D" w:rsidR="00722052" w:rsidRPr="00CA4C33" w:rsidRDefault="00A81EDD" w:rsidP="00E06D53">
      <w:pPr>
        <w:spacing w:before="120" w:after="120" w:line="257"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Dự thảo Thông tư (Phụ lục 8) bổ sung hành vi </w:t>
      </w:r>
      <w:r w:rsidR="00E06D53">
        <w:rPr>
          <w:rFonts w:ascii="Times New Roman" w:hAnsi="Times New Roman"/>
          <w:sz w:val="28"/>
          <w:szCs w:val="28"/>
          <w:lang w:val="en-US"/>
        </w:rPr>
        <w:t xml:space="preserve">hạn chế sự tham gia của nhà thầu. Theo đó, </w:t>
      </w:r>
      <w:r w:rsidRPr="00CA4C33">
        <w:rPr>
          <w:rFonts w:ascii="Times New Roman" w:hAnsi="Times New Roman"/>
          <w:sz w:val="28"/>
          <w:szCs w:val="28"/>
          <w:lang w:val="en-US"/>
        </w:rPr>
        <w:t>“</w:t>
      </w:r>
      <w:r w:rsidR="007801F1" w:rsidRPr="007801F1">
        <w:rPr>
          <w:rFonts w:ascii="Times New Roman" w:hAnsi="Times New Roman"/>
          <w:sz w:val="28"/>
          <w:szCs w:val="28"/>
          <w:lang w:val="en-US"/>
        </w:rPr>
        <w:t>Đối với công trình tương tự, ngoài yêu cầu về loại kết cấu, cấp công trình theo quy định tại Phụ lục II Thông tư số 06/2021/TT-BXD (trừ trường hợp không có loại kết cấu trong phụ lục II Thông tư số 06/2021/TT-BXD), E-E-HSMT yêu cầu phải có các hạng mục trong công trình tương tự (ví dụ: có hạng mục móng cọc, móng băng, kết cấu dầm chữ I, dầm super T, cầu dây văng, có lớp cấp phối đá dăm, mặt đường bê tông xi măng…) hoặc các yêu cầu khác mà không phải là yêu cầu về loại kết cấu, cấp công trình</w:t>
      </w:r>
      <w:r w:rsidRPr="00CA4C33">
        <w:rPr>
          <w:rFonts w:ascii="Times New Roman" w:hAnsi="Times New Roman"/>
          <w:sz w:val="28"/>
          <w:szCs w:val="28"/>
          <w:lang w:val="en-US"/>
        </w:rPr>
        <w:t>”</w:t>
      </w:r>
      <w:r w:rsidR="00722052" w:rsidRPr="00CA4C33">
        <w:rPr>
          <w:rFonts w:ascii="Times New Roman" w:hAnsi="Times New Roman"/>
          <w:sz w:val="28"/>
          <w:szCs w:val="28"/>
          <w:lang w:val="en-US"/>
        </w:rPr>
        <w:t>.</w:t>
      </w:r>
    </w:p>
    <w:p w14:paraId="48B08C09" w14:textId="63DCFEB2" w:rsidR="005B54E2" w:rsidRPr="00CA4C33" w:rsidRDefault="004F15DD" w:rsidP="00E06D53">
      <w:pPr>
        <w:spacing w:before="120" w:after="120" w:line="257" w:lineRule="auto"/>
        <w:ind w:firstLine="720"/>
        <w:jc w:val="both"/>
        <w:rPr>
          <w:rFonts w:ascii="Times New Roman" w:hAnsi="Times New Roman"/>
          <w:b/>
          <w:bCs/>
          <w:spacing w:val="4"/>
          <w:sz w:val="28"/>
          <w:szCs w:val="28"/>
          <w:lang w:val="en-US"/>
        </w:rPr>
      </w:pPr>
      <w:r w:rsidRPr="00CA4C33">
        <w:rPr>
          <w:rFonts w:ascii="Times New Roman" w:hAnsi="Times New Roman"/>
          <w:b/>
          <w:bCs/>
          <w:spacing w:val="4"/>
          <w:sz w:val="28"/>
          <w:szCs w:val="28"/>
          <w:lang w:val="en-US"/>
        </w:rPr>
        <w:t>2</w:t>
      </w:r>
      <w:r w:rsidR="00283BDF" w:rsidRPr="00CA4C33">
        <w:rPr>
          <w:rFonts w:ascii="Times New Roman" w:hAnsi="Times New Roman"/>
          <w:b/>
          <w:bCs/>
          <w:spacing w:val="4"/>
          <w:sz w:val="28"/>
          <w:szCs w:val="28"/>
        </w:rPr>
        <w:t xml:space="preserve">. </w:t>
      </w:r>
      <w:r w:rsidR="00C41EFF" w:rsidRPr="00CA4C33">
        <w:rPr>
          <w:rFonts w:ascii="Times New Roman" w:hAnsi="Times New Roman"/>
          <w:b/>
          <w:bCs/>
          <w:spacing w:val="4"/>
          <w:sz w:val="28"/>
          <w:szCs w:val="28"/>
          <w:lang w:val="en-US"/>
        </w:rPr>
        <w:t>Về</w:t>
      </w:r>
      <w:r w:rsidR="00D92FF8" w:rsidRPr="00CA4C33">
        <w:rPr>
          <w:rFonts w:ascii="Times New Roman" w:hAnsi="Times New Roman"/>
          <w:b/>
          <w:bCs/>
          <w:spacing w:val="4"/>
          <w:sz w:val="28"/>
          <w:szCs w:val="28"/>
          <w:lang w:val="en-US"/>
        </w:rPr>
        <w:t xml:space="preserve"> </w:t>
      </w:r>
      <w:r w:rsidR="00A81EDD" w:rsidRPr="00CA4C33">
        <w:rPr>
          <w:rFonts w:ascii="Times New Roman" w:hAnsi="Times New Roman"/>
          <w:b/>
          <w:bCs/>
          <w:spacing w:val="4"/>
          <w:sz w:val="28"/>
          <w:szCs w:val="28"/>
          <w:lang w:val="en-US"/>
        </w:rPr>
        <w:t xml:space="preserve">việc bỏ </w:t>
      </w:r>
      <w:r w:rsidR="00D92FF8" w:rsidRPr="00CA4C33">
        <w:rPr>
          <w:rFonts w:ascii="Times New Roman" w:hAnsi="Times New Roman"/>
          <w:b/>
          <w:bCs/>
          <w:spacing w:val="4"/>
          <w:sz w:val="28"/>
          <w:szCs w:val="28"/>
          <w:lang w:val="en-US"/>
        </w:rPr>
        <w:t>cam kết tín dụng tại</w:t>
      </w:r>
      <w:r w:rsidR="00C41EFF" w:rsidRPr="00CA4C33">
        <w:rPr>
          <w:rFonts w:ascii="Times New Roman" w:hAnsi="Times New Roman"/>
          <w:b/>
          <w:bCs/>
          <w:spacing w:val="4"/>
          <w:sz w:val="28"/>
          <w:szCs w:val="28"/>
          <w:lang w:val="en-US"/>
        </w:rPr>
        <w:t xml:space="preserve"> </w:t>
      </w:r>
      <w:r w:rsidR="00C02846" w:rsidRPr="00CA4C33">
        <w:rPr>
          <w:rFonts w:ascii="Times New Roman" w:hAnsi="Times New Roman"/>
          <w:b/>
          <w:bCs/>
          <w:spacing w:val="4"/>
          <w:sz w:val="28"/>
          <w:szCs w:val="28"/>
          <w:lang w:val="en-US"/>
        </w:rPr>
        <w:t>mẫu E-HSMT gói thầu xây lắp qua mạng</w:t>
      </w:r>
    </w:p>
    <w:p w14:paraId="48B0C456" w14:textId="5C5523A0" w:rsidR="006157E4" w:rsidRPr="00CA4C33" w:rsidRDefault="006157E4" w:rsidP="00E06D53">
      <w:pPr>
        <w:spacing w:before="120" w:after="120" w:line="257" w:lineRule="auto"/>
        <w:ind w:firstLine="720"/>
        <w:jc w:val="both"/>
        <w:rPr>
          <w:rFonts w:ascii="Times New Roman" w:hAnsi="Times New Roman"/>
          <w:i/>
          <w:iCs/>
          <w:sz w:val="28"/>
          <w:szCs w:val="28"/>
          <w:u w:val="single"/>
          <w:lang w:val="en-US"/>
        </w:rPr>
      </w:pPr>
      <w:r w:rsidRPr="00CA4C33">
        <w:rPr>
          <w:rFonts w:ascii="Times New Roman" w:hAnsi="Times New Roman"/>
          <w:sz w:val="28"/>
          <w:szCs w:val="28"/>
          <w:lang w:val="en-US"/>
        </w:rPr>
        <w:t xml:space="preserve">Theo hướng dẫn tại </w:t>
      </w:r>
      <w:r w:rsidR="00722052" w:rsidRPr="00CA4C33">
        <w:rPr>
          <w:rFonts w:ascii="Times New Roman" w:hAnsi="Times New Roman"/>
          <w:sz w:val="28"/>
          <w:szCs w:val="28"/>
          <w:lang w:val="en-US"/>
        </w:rPr>
        <w:t xml:space="preserve">Chương I và Chương III </w:t>
      </w:r>
      <w:r w:rsidRPr="00CA4C33">
        <w:rPr>
          <w:rFonts w:ascii="Times New Roman" w:hAnsi="Times New Roman"/>
          <w:sz w:val="28"/>
          <w:szCs w:val="28"/>
          <w:lang w:val="en-US"/>
        </w:rPr>
        <w:t xml:space="preserve">Mẫu hồ sơ mời thầu xây lắp ban hành kèm theo Thông tư số 06/2024/TT-BKHĐT ngày 26/4/2024 của Bộ trưởng Bộ Kế hoạch và Đầu tư, </w:t>
      </w:r>
      <w:r w:rsidR="00722052" w:rsidRPr="00CA4C33">
        <w:rPr>
          <w:rFonts w:ascii="Times New Roman" w:hAnsi="Times New Roman"/>
          <w:sz w:val="28"/>
          <w:szCs w:val="28"/>
          <w:lang w:val="en-US"/>
        </w:rPr>
        <w:t>“</w:t>
      </w:r>
      <w:r w:rsidR="00722052" w:rsidRPr="00CA4C33">
        <w:rPr>
          <w:rFonts w:ascii="Times New Roman" w:hAnsi="Times New Roman"/>
          <w:i/>
          <w:iCs/>
          <w:sz w:val="28"/>
          <w:szCs w:val="28"/>
          <w:lang w:val="en-US"/>
        </w:rPr>
        <w:t xml:space="preserve">đối với yêu cầu về nguồn lực tài chính: tổ chuyên gia đánh giá trên cơ sở thông tin mà nhà thầu kê khai; </w:t>
      </w:r>
      <w:r w:rsidR="00722052" w:rsidRPr="00CA4C33">
        <w:rPr>
          <w:rFonts w:ascii="Times New Roman" w:hAnsi="Times New Roman"/>
          <w:i/>
          <w:iCs/>
          <w:sz w:val="28"/>
          <w:szCs w:val="28"/>
          <w:u w:val="single"/>
          <w:lang w:val="en-US"/>
        </w:rPr>
        <w:t>trường hợp nhà thầu sử dụng cam kết tín dụng để chứng minh nguồn lực tài chính, tổ chuyên gia căn cứ vào tài liệu đính kèm để đánh giá.</w:t>
      </w:r>
    </w:p>
    <w:p w14:paraId="6A25E2C4" w14:textId="2AE9B45C" w:rsidR="00A81EDD" w:rsidRPr="00CA4C33" w:rsidRDefault="00A81EDD" w:rsidP="00E06D53">
      <w:pPr>
        <w:spacing w:before="120" w:after="120" w:line="257"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Dự thảo </w:t>
      </w:r>
      <w:r w:rsidR="008B46A4" w:rsidRPr="00CA4C33">
        <w:rPr>
          <w:rFonts w:ascii="Times New Roman" w:hAnsi="Times New Roman"/>
          <w:sz w:val="28"/>
          <w:szCs w:val="28"/>
          <w:lang w:val="en-US"/>
        </w:rPr>
        <w:t>Thông tư bỏ quy định về cam kết tín dụng. Nhà thầu chứng minh bằng nguồn lực tài chính mà không phải cam kết tín dụng, đảm bảo nhà thầu có tiền để thực hiện gói thầu mà không phụ thuộc toàn bộ vào khoản vay.</w:t>
      </w:r>
      <w:r w:rsidRPr="00CA4C33">
        <w:rPr>
          <w:rFonts w:ascii="Times New Roman" w:hAnsi="Times New Roman"/>
          <w:sz w:val="28"/>
          <w:szCs w:val="28"/>
          <w:lang w:val="en-US"/>
        </w:rPr>
        <w:t xml:space="preserve"> </w:t>
      </w:r>
    </w:p>
    <w:p w14:paraId="777EDFC8" w14:textId="7B237633" w:rsidR="00C62861" w:rsidRPr="00CA4C33" w:rsidRDefault="00C62861" w:rsidP="00E06D53">
      <w:pPr>
        <w:spacing w:before="120" w:after="120" w:line="257" w:lineRule="auto"/>
        <w:ind w:firstLine="720"/>
        <w:jc w:val="both"/>
        <w:rPr>
          <w:rFonts w:ascii="Times New Roman" w:hAnsi="Times New Roman"/>
          <w:b/>
          <w:bCs/>
          <w:sz w:val="28"/>
          <w:szCs w:val="28"/>
          <w:lang w:val="en-US"/>
        </w:rPr>
      </w:pPr>
      <w:r w:rsidRPr="00CA4C33">
        <w:rPr>
          <w:rFonts w:ascii="Times New Roman" w:hAnsi="Times New Roman"/>
          <w:b/>
          <w:bCs/>
          <w:sz w:val="28"/>
          <w:szCs w:val="28"/>
          <w:lang w:val="en-US"/>
        </w:rPr>
        <w:t>3. Về việc áp dụng gói thầu EPC, EP, EC, PC</w:t>
      </w:r>
    </w:p>
    <w:p w14:paraId="7B28FCB1" w14:textId="0492E86D" w:rsidR="00C62861" w:rsidRPr="00C96999" w:rsidRDefault="00C62861" w:rsidP="00E06D53">
      <w:pPr>
        <w:spacing w:before="120" w:after="120" w:line="257" w:lineRule="auto"/>
        <w:ind w:firstLine="720"/>
        <w:jc w:val="both"/>
        <w:rPr>
          <w:rFonts w:ascii="Times New Roman" w:hAnsi="Times New Roman"/>
          <w:spacing w:val="-4"/>
          <w:sz w:val="28"/>
          <w:szCs w:val="28"/>
          <w:lang w:val="en-US"/>
        </w:rPr>
      </w:pPr>
      <w:r w:rsidRPr="00C96999">
        <w:rPr>
          <w:rFonts w:ascii="Times New Roman" w:hAnsi="Times New Roman"/>
          <w:spacing w:val="-4"/>
          <w:sz w:val="28"/>
          <w:szCs w:val="28"/>
          <w:lang w:val="en-US"/>
        </w:rPr>
        <w:t>Dự thảo Thông tư quy định “Gói thầu EPC, EP, EC, PC được áp dụng đối với dự án phức tạp, có yêu cầu kỹ thuật, công nghệ cao và phải tuân thủ chặt chẽ tính đồng bộ, thống nhất từ khâu thiết kế đến khâu cung cấp thiết bị, thi công, đào tạo chuyển giao công nghệ, bảo hành, bảo trì dài hạn. EPC phù hợp với các công trình công nghiệp cơ khí, điện, dầu khí, hóa chất, xi măng, khai khoáng, cấp thoát nước, xử lý nước thải, rác thải, công nghệ thông tin mà việc thiết kế và sản xuất thiết bị không thể tách rời do yêu cầu cao của tính đồng bộ. Không áp dụng hình thức EPC, EP, EC, PC trong trường hợp có thể tách thành các gói thầu riêng biệt thiết kế (E), cung cấp hàng hóa (P) và xây lắp (C) để tăng tính cạnh tranh cho gói thầu.</w:t>
      </w:r>
    </w:p>
    <w:p w14:paraId="68C2F560" w14:textId="3A450B30" w:rsidR="00C96999" w:rsidRPr="00CA4C33" w:rsidRDefault="00C96999" w:rsidP="00E06D53">
      <w:pPr>
        <w:spacing w:before="120" w:after="120" w:line="257" w:lineRule="auto"/>
        <w:ind w:firstLine="720"/>
        <w:jc w:val="both"/>
        <w:rPr>
          <w:rFonts w:ascii="Times New Roman" w:hAnsi="Times New Roman"/>
          <w:sz w:val="28"/>
          <w:szCs w:val="28"/>
          <w:lang w:val="en-US"/>
        </w:rPr>
      </w:pPr>
      <w:r w:rsidRPr="00C96999">
        <w:rPr>
          <w:rFonts w:ascii="Times New Roman" w:hAnsi="Times New Roman"/>
          <w:sz w:val="28"/>
          <w:szCs w:val="28"/>
          <w:lang w:val="en-US"/>
        </w:rPr>
        <w:t>Trường hợp việc lựa chọn nhà thầu căn cứ thiết kế cơ sở, thiết kế FEED thì được hình thành gói thầu EPC; trường hợp việc lựa chọn nhà thầu gói thầu căn cứ thiết kế kỹ thuật thì không hình thành gói thầu EPC mà hình thành gói thầu PC</w:t>
      </w:r>
      <w:r>
        <w:rPr>
          <w:rFonts w:ascii="Times New Roman" w:hAnsi="Times New Roman"/>
          <w:sz w:val="28"/>
          <w:szCs w:val="28"/>
          <w:lang w:val="en-US"/>
        </w:rPr>
        <w:t>”</w:t>
      </w:r>
      <w:r w:rsidRPr="00C96999">
        <w:rPr>
          <w:rFonts w:ascii="Times New Roman" w:hAnsi="Times New Roman"/>
          <w:sz w:val="28"/>
          <w:szCs w:val="28"/>
          <w:lang w:val="en-US"/>
        </w:rPr>
        <w:t>.</w:t>
      </w:r>
    </w:p>
    <w:p w14:paraId="4068FDF8" w14:textId="2921B859" w:rsidR="00523BFA" w:rsidRPr="00CA4C33" w:rsidRDefault="00C62861" w:rsidP="00E06D53">
      <w:pPr>
        <w:spacing w:before="120" w:after="120" w:line="264" w:lineRule="auto"/>
        <w:ind w:firstLine="720"/>
        <w:jc w:val="both"/>
        <w:rPr>
          <w:rFonts w:ascii="Times New Roman" w:hAnsi="Times New Roman"/>
          <w:b/>
          <w:bCs/>
          <w:sz w:val="28"/>
          <w:szCs w:val="28"/>
          <w:lang w:val="en-US"/>
        </w:rPr>
      </w:pPr>
      <w:r w:rsidRPr="00CA4C33">
        <w:rPr>
          <w:rFonts w:ascii="Times New Roman" w:hAnsi="Times New Roman"/>
          <w:b/>
          <w:bCs/>
          <w:sz w:val="28"/>
          <w:szCs w:val="28"/>
          <w:lang w:val="en-US"/>
        </w:rPr>
        <w:lastRenderedPageBreak/>
        <w:t>4</w:t>
      </w:r>
      <w:r w:rsidR="00523BFA" w:rsidRPr="00CA4C33">
        <w:rPr>
          <w:rFonts w:ascii="Times New Roman" w:hAnsi="Times New Roman"/>
          <w:b/>
          <w:bCs/>
          <w:sz w:val="28"/>
          <w:szCs w:val="28"/>
          <w:lang w:val="en-US"/>
        </w:rPr>
        <w:t>. Yêu cầu về tính chất tương tự của gói thầu EPC:</w:t>
      </w:r>
    </w:p>
    <w:p w14:paraId="0E39C8D4" w14:textId="77A85D1A" w:rsidR="008B46A4" w:rsidRPr="00CA4C33" w:rsidRDefault="008B46A4"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Dự thảo Thông tư có 02 phương án về yêu cầu tính chất tương tự của gói thầu EPC:</w:t>
      </w:r>
    </w:p>
    <w:p w14:paraId="20990BDB" w14:textId="4EA4400B" w:rsidR="00D158A7" w:rsidRPr="00CA4C33" w:rsidRDefault="00523BFA"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u w:val="single"/>
          <w:lang w:val="en-US"/>
        </w:rPr>
        <w:t>Phương án 1:</w:t>
      </w:r>
      <w:r w:rsidRPr="00CA4C33">
        <w:rPr>
          <w:rFonts w:ascii="Times New Roman" w:hAnsi="Times New Roman"/>
          <w:sz w:val="28"/>
          <w:szCs w:val="28"/>
          <w:lang w:val="en-US"/>
        </w:rPr>
        <w:t xml:space="preserve"> </w:t>
      </w:r>
      <w:r w:rsidR="00D158A7" w:rsidRPr="00CA4C33">
        <w:rPr>
          <w:rFonts w:ascii="Times New Roman" w:hAnsi="Times New Roman"/>
          <w:sz w:val="28"/>
          <w:szCs w:val="28"/>
          <w:lang w:val="en-US"/>
        </w:rPr>
        <w:t>Từ ngày 01 tháng 01 năm ___(10) đến thời điểm đóng thầu, nhà thầu đã hoàn thành toàn bộ hoặc hoàn thành phần lớn (11) hợp đồng tương tự với tư cách là nhà thầu chính (độc lập hoặc thành viên liên danh), nhà thầu quản lý(14) hoặc nhà thầu phụ đáp ứng một trong các tiêu chí sau:</w:t>
      </w:r>
    </w:p>
    <w:p w14:paraId="2A6885D6" w14:textId="77777777"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 (i) 01 hợp đồng là hợp đồng EPC hoặc EP hoặc EC hoặc PC:</w:t>
      </w:r>
    </w:p>
    <w:p w14:paraId="06E31BD7" w14:textId="26820A2C"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 Có tính chất tương tự:_____ </w:t>
      </w:r>
    </w:p>
    <w:p w14:paraId="51AFCA51" w14:textId="54D03B2A"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 Có quy mô (giá trị) tối thiểu là V </w:t>
      </w:r>
    </w:p>
    <w:p w14:paraId="5FF15CA4" w14:textId="77777777"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hoặc</w:t>
      </w:r>
    </w:p>
    <w:p w14:paraId="497BE9E7" w14:textId="77777777"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(ii) 02 hợp đồng là các hợp đồng E hoặc P hoặc C:</w:t>
      </w:r>
    </w:p>
    <w:p w14:paraId="31C91318" w14:textId="0051E278"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 Có tính chất tương tự:_____ </w:t>
      </w:r>
    </w:p>
    <w:p w14:paraId="68147A79" w14:textId="6C2D7035"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 Tổng 02 hợp đồng có quy mô (giá trị) tối thiểu là 2 x V </w:t>
      </w:r>
    </w:p>
    <w:p w14:paraId="1A4452D1" w14:textId="50C3115A" w:rsidR="00D158A7" w:rsidRPr="00CA4C33" w:rsidRDefault="00523BFA"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u w:val="single"/>
          <w:lang w:val="en-US"/>
        </w:rPr>
        <w:t>Phương án 2:</w:t>
      </w:r>
      <w:r w:rsidRPr="00CA4C33">
        <w:rPr>
          <w:rFonts w:ascii="Times New Roman" w:hAnsi="Times New Roman"/>
          <w:sz w:val="28"/>
          <w:szCs w:val="28"/>
          <w:lang w:val="en-US"/>
        </w:rPr>
        <w:t xml:space="preserve"> </w:t>
      </w:r>
      <w:r w:rsidR="00D158A7" w:rsidRPr="00CA4C33">
        <w:rPr>
          <w:rFonts w:ascii="Times New Roman" w:hAnsi="Times New Roman"/>
          <w:sz w:val="28"/>
          <w:szCs w:val="28"/>
          <w:lang w:val="en-US"/>
        </w:rPr>
        <w:t>Từ ngày 01 tháng 01 năm ___ đến thời điểm đóng thầu, nhà thầu đã hoàn thành toàn bộ hoặc hoàn thành phần lớn tối thiểu 01 hợp đồng EPC với tư cách là nhà thầu chính (độc lập hoặc thành viên liên danh), nhà thầu quản lý hoặc nhà thầu phụ, đáp ứng yêu cầu sau:</w:t>
      </w:r>
    </w:p>
    <w:p w14:paraId="4A29D2A0" w14:textId="2B464395"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 Có tính chất tương tự:_____ </w:t>
      </w:r>
    </w:p>
    <w:p w14:paraId="7818C1DD" w14:textId="173668B0" w:rsidR="00D158A7" w:rsidRPr="00CA4C33" w:rsidRDefault="00D158A7"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 Có quy mô (giá trị) tối thiểu là V </w:t>
      </w:r>
    </w:p>
    <w:p w14:paraId="5059884F" w14:textId="4EA6A18E" w:rsidR="00D158A7" w:rsidRPr="00CA4C33" w:rsidRDefault="00C62861" w:rsidP="00E06D53">
      <w:pPr>
        <w:spacing w:before="120" w:after="120" w:line="264" w:lineRule="auto"/>
        <w:ind w:firstLine="720"/>
        <w:jc w:val="both"/>
        <w:rPr>
          <w:rFonts w:ascii="Times New Roman" w:hAnsi="Times New Roman"/>
          <w:b/>
          <w:bCs/>
          <w:sz w:val="28"/>
          <w:szCs w:val="28"/>
          <w:lang w:val="en-US"/>
        </w:rPr>
      </w:pPr>
      <w:r w:rsidRPr="00CA4C33">
        <w:rPr>
          <w:rFonts w:ascii="Times New Roman" w:hAnsi="Times New Roman"/>
          <w:b/>
          <w:bCs/>
          <w:sz w:val="28"/>
          <w:szCs w:val="28"/>
          <w:lang w:val="en-US"/>
        </w:rPr>
        <w:t>5</w:t>
      </w:r>
      <w:r w:rsidR="00AD7C8E" w:rsidRPr="00CA4C33">
        <w:rPr>
          <w:rFonts w:ascii="Times New Roman" w:hAnsi="Times New Roman"/>
          <w:b/>
          <w:bCs/>
          <w:sz w:val="28"/>
          <w:szCs w:val="28"/>
          <w:lang w:val="en-US"/>
        </w:rPr>
        <w:t xml:space="preserve">. </w:t>
      </w:r>
      <w:r w:rsidR="00D158A7" w:rsidRPr="00CA4C33">
        <w:rPr>
          <w:rFonts w:ascii="Times New Roman" w:hAnsi="Times New Roman"/>
          <w:b/>
          <w:bCs/>
          <w:sz w:val="28"/>
          <w:szCs w:val="28"/>
          <w:lang w:val="en-US"/>
        </w:rPr>
        <w:t>Về chào nhiều hãng xuất xứ cho một đơn vị hàng hóa</w:t>
      </w:r>
    </w:p>
    <w:p w14:paraId="38B4D940" w14:textId="27545313" w:rsidR="00BA60DC" w:rsidRPr="00CA4C33" w:rsidRDefault="00C62861"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Dự thảo Thông tư quy định “</w:t>
      </w:r>
      <w:r w:rsidR="00AD7C8E" w:rsidRPr="00CA4C33">
        <w:rPr>
          <w:rFonts w:ascii="Times New Roman" w:hAnsi="Times New Roman"/>
          <w:sz w:val="28"/>
          <w:szCs w:val="28"/>
          <w:lang w:val="en-US"/>
        </w:rPr>
        <w:t xml:space="preserve">Trường hợp nhà thầu chào nhiều hãng sản xuất cho </w:t>
      </w:r>
      <w:r w:rsidR="00D158A7" w:rsidRPr="00CA4C33">
        <w:rPr>
          <w:rFonts w:ascii="Times New Roman" w:hAnsi="Times New Roman"/>
          <w:sz w:val="28"/>
          <w:szCs w:val="28"/>
          <w:lang w:val="en-US"/>
        </w:rPr>
        <w:t xml:space="preserve">một </w:t>
      </w:r>
      <w:r w:rsidR="00D74A54" w:rsidRPr="00CA4C33">
        <w:rPr>
          <w:rFonts w:ascii="Times New Roman" w:hAnsi="Times New Roman"/>
          <w:sz w:val="28"/>
          <w:szCs w:val="28"/>
          <w:lang w:val="en-US"/>
        </w:rPr>
        <w:t>đơn vị hàng hóa (0</w:t>
      </w:r>
      <w:r w:rsidR="00BA60DC" w:rsidRPr="00CA4C33">
        <w:rPr>
          <w:rFonts w:ascii="Times New Roman" w:hAnsi="Times New Roman"/>
          <w:sz w:val="28"/>
          <w:szCs w:val="28"/>
          <w:lang w:val="en-US"/>
        </w:rPr>
        <w:t xml:space="preserve">1 cái, </w:t>
      </w:r>
      <w:r w:rsidR="00D74A54" w:rsidRPr="00CA4C33">
        <w:rPr>
          <w:rFonts w:ascii="Times New Roman" w:hAnsi="Times New Roman"/>
          <w:sz w:val="28"/>
          <w:szCs w:val="28"/>
          <w:lang w:val="en-US"/>
        </w:rPr>
        <w:t>0</w:t>
      </w:r>
      <w:r w:rsidR="00BA60DC" w:rsidRPr="00CA4C33">
        <w:rPr>
          <w:rFonts w:ascii="Times New Roman" w:hAnsi="Times New Roman"/>
          <w:sz w:val="28"/>
          <w:szCs w:val="28"/>
          <w:lang w:val="en-US"/>
        </w:rPr>
        <w:t>1 chiếc</w:t>
      </w:r>
      <w:r w:rsidR="00D74A54" w:rsidRPr="00CA4C33">
        <w:rPr>
          <w:rFonts w:ascii="Times New Roman" w:hAnsi="Times New Roman"/>
          <w:sz w:val="28"/>
          <w:szCs w:val="28"/>
          <w:lang w:val="en-US"/>
        </w:rPr>
        <w:t>) thì hồ sơ dự thầu của nhà thầu không được tiếp tục xem xét, đánh giá</w:t>
      </w:r>
      <w:r w:rsidRPr="00CA4C33">
        <w:rPr>
          <w:rFonts w:ascii="Times New Roman" w:hAnsi="Times New Roman"/>
          <w:sz w:val="28"/>
          <w:szCs w:val="28"/>
          <w:lang w:val="en-US"/>
        </w:rPr>
        <w:t>”</w:t>
      </w:r>
      <w:r w:rsidR="00D74A54" w:rsidRPr="00CA4C33">
        <w:rPr>
          <w:rFonts w:ascii="Times New Roman" w:hAnsi="Times New Roman"/>
          <w:sz w:val="28"/>
          <w:szCs w:val="28"/>
          <w:lang w:val="en-US"/>
        </w:rPr>
        <w:t>.</w:t>
      </w:r>
    </w:p>
    <w:p w14:paraId="15F7F20D" w14:textId="502F2779" w:rsidR="008B46A4" w:rsidRPr="00CA4C33" w:rsidRDefault="008B46A4"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Lý do: không xác định được mặt hàng cụ thể nhà thầu chào là gì, không có cơ sở để đánh giá.</w:t>
      </w:r>
    </w:p>
    <w:p w14:paraId="63F8960E" w14:textId="59B2C16B" w:rsidR="00D158A7" w:rsidRPr="00CA4C33" w:rsidRDefault="00D158A7" w:rsidP="00E06D53">
      <w:pPr>
        <w:spacing w:before="120" w:after="120" w:line="264" w:lineRule="auto"/>
        <w:ind w:firstLine="720"/>
        <w:jc w:val="both"/>
        <w:rPr>
          <w:rFonts w:ascii="Times New Roman" w:hAnsi="Times New Roman"/>
          <w:spacing w:val="-6"/>
          <w:sz w:val="28"/>
          <w:szCs w:val="28"/>
          <w:lang w:val="en-US"/>
        </w:rPr>
      </w:pPr>
      <w:r w:rsidRPr="00CA4C33">
        <w:rPr>
          <w:rFonts w:ascii="Times New Roman" w:hAnsi="Times New Roman"/>
          <w:spacing w:val="-6"/>
          <w:sz w:val="28"/>
          <w:szCs w:val="28"/>
          <w:lang w:val="en-US"/>
        </w:rPr>
        <w:t xml:space="preserve">Ví dụ: E-HSMT gói thầu mua </w:t>
      </w:r>
      <w:r w:rsidR="00F10ABF" w:rsidRPr="00CA4C33">
        <w:rPr>
          <w:rFonts w:ascii="Times New Roman" w:hAnsi="Times New Roman"/>
          <w:spacing w:val="-6"/>
          <w:sz w:val="28"/>
          <w:szCs w:val="28"/>
          <w:lang w:val="en-US"/>
        </w:rPr>
        <w:t xml:space="preserve">01 </w:t>
      </w:r>
      <w:r w:rsidRPr="00CA4C33">
        <w:rPr>
          <w:rFonts w:ascii="Times New Roman" w:hAnsi="Times New Roman"/>
          <w:spacing w:val="-6"/>
          <w:sz w:val="28"/>
          <w:szCs w:val="28"/>
          <w:lang w:val="en-US"/>
        </w:rPr>
        <w:t>ô tô</w:t>
      </w:r>
      <w:r w:rsidR="00F10ABF" w:rsidRPr="00CA4C33">
        <w:rPr>
          <w:rFonts w:ascii="Times New Roman" w:hAnsi="Times New Roman"/>
          <w:spacing w:val="-6"/>
          <w:sz w:val="28"/>
          <w:szCs w:val="28"/>
          <w:lang w:val="en-US"/>
        </w:rPr>
        <w:t xml:space="preserve"> loại 5 chỗ ngồi, nhà thầu đề xuất như sau:</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303"/>
        <w:gridCol w:w="966"/>
        <w:gridCol w:w="1793"/>
        <w:gridCol w:w="2693"/>
        <w:gridCol w:w="851"/>
        <w:gridCol w:w="983"/>
      </w:tblGrid>
      <w:tr w:rsidR="00CA4C33" w:rsidRPr="00CA4C33" w14:paraId="524D823E" w14:textId="77777777" w:rsidTr="001272FD">
        <w:trPr>
          <w:trHeight w:val="1145"/>
          <w:jc w:val="center"/>
        </w:trPr>
        <w:tc>
          <w:tcPr>
            <w:tcW w:w="753" w:type="dxa"/>
            <w:shd w:val="clear" w:color="auto" w:fill="E2EFD9" w:themeFill="accent6" w:themeFillTint="33"/>
            <w:vAlign w:val="center"/>
            <w:hideMark/>
          </w:tcPr>
          <w:p w14:paraId="42E4FE97" w14:textId="77777777" w:rsidR="00D158A7" w:rsidRPr="00CA4C33" w:rsidRDefault="00D158A7" w:rsidP="00E06D53">
            <w:pPr>
              <w:spacing w:line="264" w:lineRule="auto"/>
              <w:jc w:val="center"/>
              <w:rPr>
                <w:rFonts w:ascii="Times New Roman" w:hAnsi="Times New Roman"/>
                <w:b/>
                <w:bCs/>
                <w:sz w:val="28"/>
                <w:szCs w:val="28"/>
                <w:lang w:val="nl-NL"/>
              </w:rPr>
            </w:pPr>
          </w:p>
          <w:p w14:paraId="6607D107" w14:textId="77777777" w:rsidR="00D158A7" w:rsidRPr="00CA4C33" w:rsidRDefault="00D158A7" w:rsidP="00E06D53">
            <w:pPr>
              <w:spacing w:line="264" w:lineRule="auto"/>
              <w:jc w:val="center"/>
              <w:rPr>
                <w:rFonts w:ascii="Times New Roman" w:hAnsi="Times New Roman"/>
                <w:b/>
                <w:bCs/>
                <w:sz w:val="28"/>
                <w:szCs w:val="28"/>
                <w:lang w:val="nl-NL"/>
              </w:rPr>
            </w:pPr>
            <w:r w:rsidRPr="00CA4C33">
              <w:rPr>
                <w:rFonts w:ascii="Times New Roman" w:hAnsi="Times New Roman"/>
                <w:b/>
                <w:bCs/>
                <w:sz w:val="28"/>
                <w:szCs w:val="28"/>
                <w:lang w:val="nl-NL"/>
              </w:rPr>
              <w:t>STT</w:t>
            </w:r>
          </w:p>
          <w:p w14:paraId="54EAE224" w14:textId="77777777" w:rsidR="00D158A7" w:rsidRPr="00CA4C33" w:rsidRDefault="00D158A7" w:rsidP="00E06D53">
            <w:pPr>
              <w:spacing w:line="264" w:lineRule="auto"/>
              <w:jc w:val="center"/>
              <w:rPr>
                <w:rFonts w:ascii="Times New Roman" w:hAnsi="Times New Roman"/>
                <w:b/>
                <w:bCs/>
                <w:sz w:val="28"/>
                <w:szCs w:val="28"/>
                <w:lang w:val="nl-NL"/>
              </w:rPr>
            </w:pPr>
          </w:p>
        </w:tc>
        <w:tc>
          <w:tcPr>
            <w:tcW w:w="1303" w:type="dxa"/>
            <w:shd w:val="clear" w:color="auto" w:fill="E2EFD9" w:themeFill="accent6" w:themeFillTint="33"/>
            <w:vAlign w:val="center"/>
            <w:hideMark/>
          </w:tcPr>
          <w:p w14:paraId="51F26ECC" w14:textId="77777777" w:rsidR="00D158A7" w:rsidRPr="00CA4C33" w:rsidRDefault="00D158A7" w:rsidP="00E06D53">
            <w:pPr>
              <w:spacing w:line="264" w:lineRule="auto"/>
              <w:jc w:val="center"/>
              <w:rPr>
                <w:rFonts w:ascii="Times New Roman" w:hAnsi="Times New Roman"/>
                <w:b/>
                <w:bCs/>
                <w:sz w:val="28"/>
                <w:szCs w:val="28"/>
                <w:lang w:val="nl-NL"/>
              </w:rPr>
            </w:pPr>
            <w:r w:rsidRPr="00CA4C33">
              <w:rPr>
                <w:rFonts w:ascii="Times New Roman" w:hAnsi="Times New Roman"/>
                <w:b/>
                <w:bCs/>
                <w:sz w:val="28"/>
                <w:szCs w:val="28"/>
                <w:lang w:val="nl-NL"/>
              </w:rPr>
              <w:t>Danh mục hàng hóa</w:t>
            </w:r>
          </w:p>
          <w:p w14:paraId="5C915B47" w14:textId="77777777" w:rsidR="00D158A7" w:rsidRPr="00CA4C33" w:rsidRDefault="00D158A7" w:rsidP="00E06D53">
            <w:pPr>
              <w:spacing w:line="264" w:lineRule="auto"/>
              <w:jc w:val="center"/>
              <w:rPr>
                <w:rFonts w:ascii="Times New Roman" w:hAnsi="Times New Roman"/>
                <w:b/>
                <w:bCs/>
                <w:sz w:val="28"/>
                <w:szCs w:val="28"/>
                <w:lang w:val="nl-NL"/>
              </w:rPr>
            </w:pPr>
          </w:p>
        </w:tc>
        <w:tc>
          <w:tcPr>
            <w:tcW w:w="966" w:type="dxa"/>
            <w:shd w:val="clear" w:color="auto" w:fill="E2EFD9" w:themeFill="accent6" w:themeFillTint="33"/>
            <w:vAlign w:val="center"/>
          </w:tcPr>
          <w:p w14:paraId="4F67A475" w14:textId="77777777" w:rsidR="00D158A7" w:rsidRPr="00CA4C33" w:rsidRDefault="00D158A7" w:rsidP="00E06D53">
            <w:pPr>
              <w:spacing w:line="264" w:lineRule="auto"/>
              <w:jc w:val="center"/>
              <w:rPr>
                <w:rFonts w:ascii="Times New Roman" w:hAnsi="Times New Roman"/>
                <w:b/>
                <w:bCs/>
                <w:sz w:val="28"/>
                <w:szCs w:val="28"/>
                <w:lang w:val="nl-NL"/>
              </w:rPr>
            </w:pPr>
            <w:r w:rsidRPr="00CA4C33">
              <w:rPr>
                <w:rFonts w:ascii="Times New Roman" w:hAnsi="Times New Roman"/>
                <w:b/>
                <w:bCs/>
                <w:sz w:val="28"/>
                <w:szCs w:val="28"/>
                <w:lang w:val="nl-NL"/>
              </w:rPr>
              <w:t>Năm sản xuất</w:t>
            </w:r>
          </w:p>
        </w:tc>
        <w:tc>
          <w:tcPr>
            <w:tcW w:w="1793" w:type="dxa"/>
            <w:shd w:val="clear" w:color="auto" w:fill="E2EFD9" w:themeFill="accent6" w:themeFillTint="33"/>
            <w:vAlign w:val="center"/>
          </w:tcPr>
          <w:p w14:paraId="561D0B66" w14:textId="77777777" w:rsidR="00D158A7" w:rsidRPr="00CA4C33" w:rsidRDefault="00D158A7" w:rsidP="00E06D53">
            <w:pPr>
              <w:spacing w:line="264" w:lineRule="auto"/>
              <w:jc w:val="center"/>
              <w:rPr>
                <w:rFonts w:ascii="Times New Roman" w:hAnsi="Times New Roman"/>
                <w:b/>
                <w:bCs/>
                <w:sz w:val="28"/>
                <w:szCs w:val="28"/>
                <w:lang w:val="nl-NL"/>
              </w:rPr>
            </w:pPr>
            <w:r w:rsidRPr="00CA4C33">
              <w:rPr>
                <w:rFonts w:ascii="Times New Roman" w:hAnsi="Times New Roman"/>
                <w:b/>
                <w:bCs/>
                <w:sz w:val="28"/>
                <w:szCs w:val="28"/>
                <w:lang w:val="nl-NL"/>
              </w:rPr>
              <w:t>Xuất xứ (quốc gia, vùng lãnh thổ sản xuất)</w:t>
            </w:r>
          </w:p>
        </w:tc>
        <w:tc>
          <w:tcPr>
            <w:tcW w:w="2693" w:type="dxa"/>
            <w:shd w:val="clear" w:color="auto" w:fill="E2EFD9" w:themeFill="accent6" w:themeFillTint="33"/>
            <w:vAlign w:val="center"/>
          </w:tcPr>
          <w:p w14:paraId="334B1B4D" w14:textId="77777777" w:rsidR="00D158A7" w:rsidRPr="00CA4C33" w:rsidRDefault="00D158A7" w:rsidP="00E06D53">
            <w:pPr>
              <w:spacing w:line="264" w:lineRule="auto"/>
              <w:jc w:val="center"/>
              <w:rPr>
                <w:rFonts w:ascii="Times New Roman" w:hAnsi="Times New Roman"/>
                <w:b/>
                <w:bCs/>
                <w:sz w:val="28"/>
                <w:szCs w:val="28"/>
                <w:lang w:val="nl-NL"/>
              </w:rPr>
            </w:pPr>
            <w:r w:rsidRPr="00CA4C33">
              <w:rPr>
                <w:rFonts w:ascii="Times New Roman" w:hAnsi="Times New Roman"/>
                <w:b/>
                <w:bCs/>
                <w:sz w:val="28"/>
                <w:szCs w:val="28"/>
                <w:lang w:val="nl-NL"/>
              </w:rPr>
              <w:t>Hãng sản xuất</w:t>
            </w:r>
          </w:p>
        </w:tc>
        <w:tc>
          <w:tcPr>
            <w:tcW w:w="851" w:type="dxa"/>
            <w:shd w:val="clear" w:color="auto" w:fill="E2EFD9" w:themeFill="accent6" w:themeFillTint="33"/>
            <w:vAlign w:val="center"/>
            <w:hideMark/>
          </w:tcPr>
          <w:p w14:paraId="63632B3E" w14:textId="77777777" w:rsidR="00D158A7" w:rsidRPr="00CA4C33" w:rsidRDefault="00D158A7" w:rsidP="00E06D53">
            <w:pPr>
              <w:spacing w:line="264" w:lineRule="auto"/>
              <w:jc w:val="center"/>
              <w:rPr>
                <w:rFonts w:ascii="Times New Roman" w:hAnsi="Times New Roman"/>
                <w:b/>
                <w:bCs/>
                <w:sz w:val="28"/>
                <w:szCs w:val="28"/>
                <w:lang w:val="nl-NL"/>
              </w:rPr>
            </w:pPr>
            <w:r w:rsidRPr="00CA4C33">
              <w:rPr>
                <w:rFonts w:ascii="Times New Roman" w:hAnsi="Times New Roman"/>
                <w:b/>
                <w:bCs/>
                <w:sz w:val="28"/>
                <w:szCs w:val="28"/>
                <w:lang w:val="nl-NL"/>
              </w:rPr>
              <w:t>Đơn vị tính</w:t>
            </w:r>
          </w:p>
          <w:p w14:paraId="6E7ED44B" w14:textId="77777777" w:rsidR="00D158A7" w:rsidRPr="00CA4C33" w:rsidRDefault="00D158A7" w:rsidP="00E06D53">
            <w:pPr>
              <w:spacing w:line="264" w:lineRule="auto"/>
              <w:jc w:val="center"/>
              <w:rPr>
                <w:rFonts w:ascii="Times New Roman" w:hAnsi="Times New Roman"/>
                <w:b/>
                <w:bCs/>
                <w:sz w:val="28"/>
                <w:szCs w:val="28"/>
                <w:lang w:val="nl-NL"/>
              </w:rPr>
            </w:pPr>
          </w:p>
        </w:tc>
        <w:tc>
          <w:tcPr>
            <w:tcW w:w="983" w:type="dxa"/>
            <w:shd w:val="clear" w:color="auto" w:fill="E2EFD9" w:themeFill="accent6" w:themeFillTint="33"/>
            <w:vAlign w:val="center"/>
            <w:hideMark/>
          </w:tcPr>
          <w:p w14:paraId="12A33B3C" w14:textId="77777777" w:rsidR="00D158A7" w:rsidRPr="00CA4C33" w:rsidRDefault="00D158A7" w:rsidP="00E06D53">
            <w:pPr>
              <w:spacing w:line="264" w:lineRule="auto"/>
              <w:jc w:val="center"/>
              <w:rPr>
                <w:rFonts w:ascii="Times New Roman" w:hAnsi="Times New Roman"/>
                <w:b/>
                <w:bCs/>
                <w:sz w:val="28"/>
                <w:szCs w:val="28"/>
                <w:lang w:val="nl-NL"/>
              </w:rPr>
            </w:pPr>
            <w:r w:rsidRPr="00CA4C33">
              <w:rPr>
                <w:rFonts w:ascii="Times New Roman" w:hAnsi="Times New Roman"/>
                <w:b/>
                <w:bCs/>
                <w:sz w:val="28"/>
                <w:szCs w:val="28"/>
                <w:lang w:val="nl-NL"/>
              </w:rPr>
              <w:t>Khối lượng</w:t>
            </w:r>
          </w:p>
          <w:p w14:paraId="1B241530" w14:textId="77777777" w:rsidR="00D158A7" w:rsidRPr="00CA4C33" w:rsidRDefault="00D158A7" w:rsidP="00E06D53">
            <w:pPr>
              <w:spacing w:line="264" w:lineRule="auto"/>
              <w:jc w:val="center"/>
              <w:rPr>
                <w:rFonts w:ascii="Times New Roman" w:hAnsi="Times New Roman"/>
                <w:b/>
                <w:bCs/>
                <w:sz w:val="28"/>
                <w:szCs w:val="28"/>
                <w:lang w:val="nl-NL"/>
              </w:rPr>
            </w:pPr>
          </w:p>
        </w:tc>
      </w:tr>
      <w:tr w:rsidR="00CA4C33" w:rsidRPr="00CA4C33" w14:paraId="081FF641" w14:textId="77777777" w:rsidTr="001272FD">
        <w:trPr>
          <w:trHeight w:val="320"/>
          <w:jc w:val="center"/>
        </w:trPr>
        <w:tc>
          <w:tcPr>
            <w:tcW w:w="753" w:type="dxa"/>
            <w:shd w:val="clear" w:color="auto" w:fill="auto"/>
            <w:vAlign w:val="center"/>
            <w:hideMark/>
          </w:tcPr>
          <w:p w14:paraId="259F80A9" w14:textId="77777777" w:rsidR="00D158A7" w:rsidRPr="001272FD" w:rsidRDefault="00D158A7" w:rsidP="00E06D53">
            <w:pPr>
              <w:spacing w:line="264" w:lineRule="auto"/>
              <w:jc w:val="center"/>
              <w:rPr>
                <w:rFonts w:ascii="Times New Roman" w:hAnsi="Times New Roman"/>
                <w:sz w:val="26"/>
                <w:szCs w:val="26"/>
              </w:rPr>
            </w:pPr>
            <w:r w:rsidRPr="001272FD">
              <w:rPr>
                <w:rFonts w:ascii="Times New Roman" w:hAnsi="Times New Roman"/>
                <w:sz w:val="26"/>
                <w:szCs w:val="26"/>
              </w:rPr>
              <w:lastRenderedPageBreak/>
              <w:t>1</w:t>
            </w:r>
          </w:p>
        </w:tc>
        <w:tc>
          <w:tcPr>
            <w:tcW w:w="1303" w:type="dxa"/>
            <w:shd w:val="clear" w:color="auto" w:fill="auto"/>
            <w:vAlign w:val="center"/>
            <w:hideMark/>
          </w:tcPr>
          <w:p w14:paraId="73178FB6" w14:textId="561E04E3" w:rsidR="00D158A7" w:rsidRPr="001272FD" w:rsidRDefault="00F10ABF" w:rsidP="00E06D53">
            <w:pPr>
              <w:spacing w:line="264" w:lineRule="auto"/>
              <w:jc w:val="center"/>
              <w:rPr>
                <w:rFonts w:ascii="Times New Roman" w:hAnsi="Times New Roman"/>
                <w:sz w:val="26"/>
                <w:szCs w:val="26"/>
                <w:lang w:val="en-US"/>
              </w:rPr>
            </w:pPr>
            <w:r w:rsidRPr="001272FD">
              <w:rPr>
                <w:rFonts w:ascii="Times New Roman" w:hAnsi="Times New Roman"/>
                <w:sz w:val="26"/>
                <w:szCs w:val="26"/>
              </w:rPr>
              <w:t>Ô t</w:t>
            </w:r>
            <w:r w:rsidRPr="001272FD">
              <w:rPr>
                <w:rFonts w:ascii="Times New Roman" w:hAnsi="Times New Roman"/>
                <w:sz w:val="26"/>
                <w:szCs w:val="26"/>
                <w:lang w:val="en-US"/>
              </w:rPr>
              <w:t>ô</w:t>
            </w:r>
            <w:r w:rsidR="00D158A7" w:rsidRPr="001272FD">
              <w:rPr>
                <w:rFonts w:ascii="Times New Roman" w:hAnsi="Times New Roman"/>
                <w:sz w:val="26"/>
                <w:szCs w:val="26"/>
              </w:rPr>
              <w:t> </w:t>
            </w:r>
            <w:r w:rsidR="00914B6A" w:rsidRPr="001272FD">
              <w:rPr>
                <w:rFonts w:ascii="Times New Roman" w:hAnsi="Times New Roman"/>
                <w:sz w:val="26"/>
                <w:szCs w:val="26"/>
                <w:lang w:val="en-US"/>
              </w:rPr>
              <w:t>05 chỗ ngồi</w:t>
            </w:r>
          </w:p>
        </w:tc>
        <w:tc>
          <w:tcPr>
            <w:tcW w:w="966" w:type="dxa"/>
            <w:vAlign w:val="center"/>
          </w:tcPr>
          <w:p w14:paraId="69F11B6C" w14:textId="60F3BCFB" w:rsidR="00D158A7" w:rsidRPr="001272FD" w:rsidRDefault="00F10ABF" w:rsidP="00E06D53">
            <w:pPr>
              <w:spacing w:line="264" w:lineRule="auto"/>
              <w:jc w:val="center"/>
              <w:rPr>
                <w:rFonts w:ascii="Times New Roman" w:hAnsi="Times New Roman"/>
                <w:sz w:val="26"/>
                <w:szCs w:val="26"/>
                <w:lang w:val="en-US"/>
              </w:rPr>
            </w:pPr>
            <w:r w:rsidRPr="001272FD">
              <w:rPr>
                <w:rFonts w:ascii="Times New Roman" w:hAnsi="Times New Roman"/>
                <w:sz w:val="26"/>
                <w:szCs w:val="26"/>
                <w:lang w:val="en-US"/>
              </w:rPr>
              <w:t>2024</w:t>
            </w:r>
          </w:p>
        </w:tc>
        <w:tc>
          <w:tcPr>
            <w:tcW w:w="1793" w:type="dxa"/>
            <w:vAlign w:val="center"/>
          </w:tcPr>
          <w:p w14:paraId="61B5E40F" w14:textId="5B028A06" w:rsidR="00D158A7" w:rsidRPr="001272FD" w:rsidRDefault="00F10ABF" w:rsidP="00E06D53">
            <w:pPr>
              <w:spacing w:line="264" w:lineRule="auto"/>
              <w:jc w:val="center"/>
              <w:rPr>
                <w:rFonts w:ascii="Times New Roman" w:hAnsi="Times New Roman"/>
                <w:sz w:val="26"/>
                <w:szCs w:val="26"/>
                <w:lang w:val="en-US"/>
              </w:rPr>
            </w:pPr>
            <w:r w:rsidRPr="001272FD">
              <w:rPr>
                <w:rFonts w:ascii="Times New Roman" w:hAnsi="Times New Roman"/>
                <w:sz w:val="26"/>
                <w:szCs w:val="26"/>
                <w:lang w:val="en-US"/>
              </w:rPr>
              <w:t>Nhật Bản</w:t>
            </w:r>
            <w:r w:rsidR="007801F1">
              <w:rPr>
                <w:rFonts w:ascii="Times New Roman" w:hAnsi="Times New Roman"/>
                <w:sz w:val="26"/>
                <w:szCs w:val="26"/>
                <w:lang w:val="en-US"/>
              </w:rPr>
              <w:t>/Mỹ</w:t>
            </w:r>
          </w:p>
        </w:tc>
        <w:tc>
          <w:tcPr>
            <w:tcW w:w="2693" w:type="dxa"/>
            <w:vAlign w:val="center"/>
          </w:tcPr>
          <w:p w14:paraId="19FB0DE2" w14:textId="13402111" w:rsidR="00D158A7" w:rsidRPr="001272FD" w:rsidRDefault="00F10ABF" w:rsidP="00E06D53">
            <w:pPr>
              <w:spacing w:line="264" w:lineRule="auto"/>
              <w:jc w:val="center"/>
              <w:rPr>
                <w:rFonts w:ascii="Times New Roman" w:hAnsi="Times New Roman"/>
                <w:sz w:val="26"/>
                <w:szCs w:val="26"/>
                <w:lang w:val="en-US"/>
              </w:rPr>
            </w:pPr>
            <w:r w:rsidRPr="001272FD">
              <w:rPr>
                <w:rFonts w:ascii="Times New Roman" w:hAnsi="Times New Roman"/>
                <w:sz w:val="26"/>
                <w:szCs w:val="26"/>
                <w:lang w:val="en-US"/>
              </w:rPr>
              <w:t>Honda/Toyota/Ma</w:t>
            </w:r>
            <w:r w:rsidR="001272FD" w:rsidRPr="001272FD">
              <w:rPr>
                <w:rFonts w:ascii="Times New Roman" w:hAnsi="Times New Roman"/>
                <w:sz w:val="26"/>
                <w:szCs w:val="26"/>
                <w:lang w:val="en-US"/>
              </w:rPr>
              <w:t>z</w:t>
            </w:r>
            <w:r w:rsidRPr="001272FD">
              <w:rPr>
                <w:rFonts w:ascii="Times New Roman" w:hAnsi="Times New Roman"/>
                <w:sz w:val="26"/>
                <w:szCs w:val="26"/>
                <w:lang w:val="en-US"/>
              </w:rPr>
              <w:t>da</w:t>
            </w:r>
            <w:r w:rsidR="007801F1">
              <w:rPr>
                <w:rFonts w:ascii="Times New Roman" w:hAnsi="Times New Roman"/>
                <w:sz w:val="26"/>
                <w:szCs w:val="26"/>
                <w:lang w:val="en-US"/>
              </w:rPr>
              <w:t>/Ford</w:t>
            </w:r>
          </w:p>
        </w:tc>
        <w:tc>
          <w:tcPr>
            <w:tcW w:w="851" w:type="dxa"/>
            <w:shd w:val="clear" w:color="auto" w:fill="auto"/>
            <w:vAlign w:val="center"/>
            <w:hideMark/>
          </w:tcPr>
          <w:p w14:paraId="4F50694C" w14:textId="6DB02D83" w:rsidR="00D158A7" w:rsidRPr="001272FD" w:rsidRDefault="00F10ABF" w:rsidP="00E06D53">
            <w:pPr>
              <w:spacing w:line="264" w:lineRule="auto"/>
              <w:jc w:val="center"/>
              <w:rPr>
                <w:rFonts w:ascii="Times New Roman" w:hAnsi="Times New Roman"/>
                <w:sz w:val="26"/>
                <w:szCs w:val="26"/>
                <w:lang w:val="en-US"/>
              </w:rPr>
            </w:pPr>
            <w:r w:rsidRPr="001272FD">
              <w:rPr>
                <w:rFonts w:ascii="Times New Roman" w:hAnsi="Times New Roman"/>
                <w:sz w:val="26"/>
                <w:szCs w:val="26"/>
                <w:lang w:val="en-US"/>
              </w:rPr>
              <w:t>Chiếc</w:t>
            </w:r>
          </w:p>
        </w:tc>
        <w:tc>
          <w:tcPr>
            <w:tcW w:w="983" w:type="dxa"/>
            <w:shd w:val="clear" w:color="auto" w:fill="auto"/>
            <w:vAlign w:val="center"/>
            <w:hideMark/>
          </w:tcPr>
          <w:p w14:paraId="5AE46C6A" w14:textId="1ACEDC73" w:rsidR="00D158A7" w:rsidRPr="001272FD" w:rsidRDefault="00F10ABF" w:rsidP="00E06D53">
            <w:pPr>
              <w:spacing w:line="264" w:lineRule="auto"/>
              <w:jc w:val="center"/>
              <w:rPr>
                <w:rFonts w:ascii="Times New Roman" w:hAnsi="Times New Roman"/>
                <w:sz w:val="26"/>
                <w:szCs w:val="26"/>
                <w:lang w:val="en-US"/>
              </w:rPr>
            </w:pPr>
            <w:r w:rsidRPr="001272FD">
              <w:rPr>
                <w:rFonts w:ascii="Times New Roman" w:hAnsi="Times New Roman"/>
                <w:sz w:val="26"/>
                <w:szCs w:val="26"/>
                <w:lang w:val="en-US"/>
              </w:rPr>
              <w:t>01</w:t>
            </w:r>
          </w:p>
        </w:tc>
      </w:tr>
    </w:tbl>
    <w:p w14:paraId="49EA28CC" w14:textId="6C3B9BD1" w:rsidR="008B46A4" w:rsidRPr="00CA4C33" w:rsidRDefault="00C62861" w:rsidP="00E06D53">
      <w:pPr>
        <w:spacing w:before="120" w:after="120" w:line="264" w:lineRule="auto"/>
        <w:ind w:firstLine="720"/>
        <w:jc w:val="both"/>
        <w:rPr>
          <w:rFonts w:ascii="Times New Roman" w:hAnsi="Times New Roman"/>
          <w:b/>
          <w:bCs/>
          <w:sz w:val="28"/>
          <w:szCs w:val="28"/>
          <w:lang w:val="en-US"/>
        </w:rPr>
      </w:pPr>
      <w:r w:rsidRPr="00CA4C33">
        <w:rPr>
          <w:rFonts w:ascii="Times New Roman" w:hAnsi="Times New Roman"/>
          <w:b/>
          <w:bCs/>
          <w:sz w:val="28"/>
          <w:szCs w:val="28"/>
          <w:lang w:val="en-US"/>
        </w:rPr>
        <w:t>6</w:t>
      </w:r>
      <w:r w:rsidR="008B46A4" w:rsidRPr="00CA4C33">
        <w:rPr>
          <w:rFonts w:ascii="Times New Roman" w:hAnsi="Times New Roman"/>
          <w:b/>
          <w:bCs/>
          <w:sz w:val="28"/>
          <w:szCs w:val="28"/>
          <w:lang w:val="en-US"/>
        </w:rPr>
        <w:t>. Về việc đề xuất ký mã hiệu, nhãn hiệu, xuất xứ, hãng sản xuất đối với gói thầu mua sắm hàng hóa</w:t>
      </w:r>
    </w:p>
    <w:p w14:paraId="372C0854" w14:textId="5C573D96" w:rsidR="008B46A4" w:rsidRPr="00CA4C33" w:rsidRDefault="008B46A4"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Dự thảo Thông tư quy định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tài liệu khác mà phải đề xuất cụ thể tại Mẫu số 10B Chương IV).</w:t>
      </w:r>
    </w:p>
    <w:p w14:paraId="2F485FC6" w14:textId="49305701" w:rsidR="008B46A4" w:rsidRPr="00CA4C33" w:rsidRDefault="00C62861"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 xml:space="preserve">Lý do: </w:t>
      </w:r>
      <w:r w:rsidR="008B46A4" w:rsidRPr="00CA4C33">
        <w:rPr>
          <w:rFonts w:ascii="Times New Roman" w:hAnsi="Times New Roman"/>
          <w:sz w:val="28"/>
          <w:szCs w:val="28"/>
          <w:lang w:val="en-US"/>
        </w:rPr>
        <w:t xml:space="preserve">Việc yêu cầu </w:t>
      </w:r>
      <w:r w:rsidRPr="00CA4C33">
        <w:rPr>
          <w:rFonts w:ascii="Times New Roman" w:hAnsi="Times New Roman"/>
          <w:sz w:val="28"/>
          <w:szCs w:val="28"/>
          <w:lang w:val="en-US"/>
        </w:rPr>
        <w:t xml:space="preserve">như nêu trên </w:t>
      </w:r>
      <w:r w:rsidR="008B46A4" w:rsidRPr="00CA4C33">
        <w:rPr>
          <w:rFonts w:ascii="Times New Roman" w:hAnsi="Times New Roman"/>
          <w:sz w:val="28"/>
          <w:szCs w:val="28"/>
          <w:lang w:val="en-US"/>
        </w:rPr>
        <w:t xml:space="preserve">để phục vụ việc </w:t>
      </w:r>
      <w:r w:rsidR="007801F1">
        <w:rPr>
          <w:rFonts w:ascii="Times New Roman" w:hAnsi="Times New Roman"/>
          <w:sz w:val="28"/>
          <w:szCs w:val="28"/>
          <w:lang w:val="en-US"/>
        </w:rPr>
        <w:t xml:space="preserve">xây dựng cơ sở dữ liệu về kết quả lựa chọn nhà thầu, chất lượng hàng hóa đã được sử dụng, </w:t>
      </w:r>
      <w:r w:rsidR="008B46A4" w:rsidRPr="00CA4C33">
        <w:rPr>
          <w:rFonts w:ascii="Times New Roman" w:hAnsi="Times New Roman"/>
          <w:sz w:val="28"/>
          <w:szCs w:val="28"/>
          <w:lang w:val="en-US"/>
        </w:rPr>
        <w:t>lập giá gói thầu</w:t>
      </w:r>
      <w:r w:rsidRPr="00CA4C33">
        <w:rPr>
          <w:rFonts w:ascii="Times New Roman" w:hAnsi="Times New Roman"/>
          <w:sz w:val="28"/>
          <w:szCs w:val="28"/>
          <w:lang w:val="en-US"/>
        </w:rPr>
        <w:t xml:space="preserve">. </w:t>
      </w:r>
      <w:r w:rsidR="007801F1">
        <w:rPr>
          <w:rFonts w:ascii="Times New Roman" w:hAnsi="Times New Roman"/>
          <w:sz w:val="28"/>
          <w:szCs w:val="28"/>
          <w:lang w:val="en-US"/>
        </w:rPr>
        <w:t>V</w:t>
      </w:r>
      <w:r w:rsidR="008B46A4" w:rsidRPr="00CA4C33">
        <w:rPr>
          <w:rFonts w:ascii="Times New Roman" w:hAnsi="Times New Roman"/>
          <w:sz w:val="28"/>
          <w:szCs w:val="28"/>
          <w:lang w:val="en-US"/>
        </w:rPr>
        <w:t xml:space="preserve">iệc nhà thầu không đề xuất cụ thể </w:t>
      </w:r>
      <w:r w:rsidR="007801F1" w:rsidRPr="00CA4C33">
        <w:rPr>
          <w:rFonts w:ascii="Times New Roman" w:hAnsi="Times New Roman"/>
          <w:sz w:val="28"/>
          <w:szCs w:val="28"/>
          <w:lang w:val="en-US"/>
        </w:rPr>
        <w:t xml:space="preserve">ký mã hiệu (nếu có), nhãn hiệu, xuất xứ, hãng sản xuất </w:t>
      </w:r>
      <w:r w:rsidR="008B46A4" w:rsidRPr="00CA4C33">
        <w:rPr>
          <w:rFonts w:ascii="Times New Roman" w:hAnsi="Times New Roman"/>
          <w:sz w:val="28"/>
          <w:szCs w:val="28"/>
          <w:lang w:val="en-US"/>
        </w:rPr>
        <w:t xml:space="preserve">trong </w:t>
      </w:r>
      <w:r w:rsidR="007801F1">
        <w:rPr>
          <w:rFonts w:ascii="Times New Roman" w:hAnsi="Times New Roman"/>
          <w:sz w:val="28"/>
          <w:szCs w:val="28"/>
          <w:lang w:val="en-US"/>
        </w:rPr>
        <w:t xml:space="preserve">webform </w:t>
      </w:r>
      <w:r w:rsidR="008B46A4" w:rsidRPr="00CA4C33">
        <w:rPr>
          <w:rFonts w:ascii="Times New Roman" w:hAnsi="Times New Roman"/>
          <w:sz w:val="28"/>
          <w:szCs w:val="28"/>
          <w:lang w:val="en-US"/>
        </w:rPr>
        <w:t>mẫu</w:t>
      </w:r>
      <w:r w:rsidR="007801F1">
        <w:rPr>
          <w:rFonts w:ascii="Times New Roman" w:hAnsi="Times New Roman"/>
          <w:sz w:val="28"/>
          <w:szCs w:val="28"/>
          <w:lang w:val="en-US"/>
        </w:rPr>
        <w:t xml:space="preserve"> số</w:t>
      </w:r>
      <w:r w:rsidR="008B46A4" w:rsidRPr="00CA4C33">
        <w:rPr>
          <w:rFonts w:ascii="Times New Roman" w:hAnsi="Times New Roman"/>
          <w:sz w:val="28"/>
          <w:szCs w:val="28"/>
          <w:lang w:val="en-US"/>
        </w:rPr>
        <w:t xml:space="preserve"> 10B</w:t>
      </w:r>
      <w:r w:rsidRPr="00CA4C33">
        <w:rPr>
          <w:rFonts w:ascii="Times New Roman" w:hAnsi="Times New Roman"/>
          <w:sz w:val="28"/>
          <w:szCs w:val="28"/>
          <w:lang w:val="en-US"/>
        </w:rPr>
        <w:t xml:space="preserve"> Chương IV </w:t>
      </w:r>
      <w:r w:rsidR="007801F1">
        <w:rPr>
          <w:rFonts w:ascii="Times New Roman" w:hAnsi="Times New Roman"/>
          <w:sz w:val="28"/>
          <w:szCs w:val="28"/>
          <w:lang w:val="en-US"/>
        </w:rPr>
        <w:t>ảnh hưởng tới sự hình thành các cơ sở dữ liệu này</w:t>
      </w:r>
      <w:r w:rsidRPr="00CA4C33">
        <w:rPr>
          <w:rFonts w:ascii="Times New Roman" w:hAnsi="Times New Roman"/>
          <w:sz w:val="28"/>
          <w:szCs w:val="28"/>
          <w:lang w:val="en-US"/>
        </w:rPr>
        <w:t>.</w:t>
      </w:r>
    </w:p>
    <w:p w14:paraId="32904B69" w14:textId="51DC9380" w:rsidR="00C62861" w:rsidRPr="00CA4C33" w:rsidRDefault="00C62861" w:rsidP="00E06D53">
      <w:pPr>
        <w:spacing w:before="120" w:after="120" w:line="264" w:lineRule="auto"/>
        <w:ind w:firstLine="720"/>
        <w:jc w:val="both"/>
        <w:rPr>
          <w:rFonts w:ascii="Times New Roman" w:hAnsi="Times New Roman"/>
          <w:b/>
          <w:bCs/>
          <w:sz w:val="28"/>
          <w:szCs w:val="28"/>
          <w:lang w:val="en-US"/>
        </w:rPr>
      </w:pPr>
      <w:r w:rsidRPr="00CA4C33">
        <w:rPr>
          <w:rFonts w:ascii="Times New Roman" w:hAnsi="Times New Roman"/>
          <w:b/>
          <w:bCs/>
          <w:sz w:val="28"/>
          <w:szCs w:val="28"/>
          <w:lang w:val="en-US"/>
        </w:rPr>
        <w:t>7. Về việc yêu cầu giá trị công trình tương tự đối với gói thầu xây lắp</w:t>
      </w:r>
    </w:p>
    <w:p w14:paraId="62C0455E" w14:textId="4FCD772B" w:rsidR="00471109" w:rsidRDefault="00471109" w:rsidP="00E06D53">
      <w:pPr>
        <w:spacing w:before="120" w:after="120" w:line="264" w:lineRule="auto"/>
        <w:ind w:firstLine="720"/>
        <w:jc w:val="both"/>
        <w:rPr>
          <w:rFonts w:ascii="Times New Roman" w:hAnsi="Times New Roman"/>
          <w:sz w:val="28"/>
          <w:szCs w:val="28"/>
          <w:lang w:val="en-US"/>
        </w:rPr>
      </w:pPr>
      <w:r>
        <w:rPr>
          <w:rFonts w:ascii="Times New Roman" w:hAnsi="Times New Roman"/>
          <w:sz w:val="28"/>
          <w:szCs w:val="28"/>
          <w:lang w:val="en-US"/>
        </w:rPr>
        <w:t>Thông tư 06/2024/TT-BKHĐT</w:t>
      </w:r>
      <w:r w:rsidR="00EF7CDF">
        <w:rPr>
          <w:rFonts w:ascii="Times New Roman" w:hAnsi="Times New Roman"/>
          <w:sz w:val="28"/>
          <w:szCs w:val="28"/>
          <w:lang w:val="en-US"/>
        </w:rPr>
        <w:t xml:space="preserve"> ngày 26/4/2024 của Bộ trưởng Bộ Kế hoạch và Đầu tư quy định quy mô (giá trị) của công trình tương tự</w:t>
      </w:r>
      <w:r w:rsidR="00EF7CDF" w:rsidRPr="00471109">
        <w:rPr>
          <w:rFonts w:ascii="Times New Roman" w:hAnsi="Times New Roman"/>
          <w:sz w:val="28"/>
          <w:szCs w:val="28"/>
          <w:lang w:val="en-US"/>
        </w:rPr>
        <w:t xml:space="preserve"> thông thường khoảng 50% </w:t>
      </w:r>
      <w:r w:rsidR="00EF7CDF" w:rsidRPr="0001273A">
        <w:rPr>
          <w:rFonts w:ascii="Times New Roman" w:hAnsi="Times New Roman"/>
          <w:b/>
          <w:bCs/>
          <w:sz w:val="28"/>
          <w:szCs w:val="28"/>
          <w:lang w:val="en-US"/>
        </w:rPr>
        <w:t xml:space="preserve">giá trị </w:t>
      </w:r>
      <w:r w:rsidR="00EF7CDF" w:rsidRPr="00EF7CDF">
        <w:rPr>
          <w:rFonts w:ascii="Times New Roman" w:hAnsi="Times New Roman"/>
          <w:b/>
          <w:bCs/>
          <w:sz w:val="28"/>
          <w:szCs w:val="28"/>
          <w:lang w:val="en-US"/>
        </w:rPr>
        <w:t xml:space="preserve">công việc xây </w:t>
      </w:r>
      <w:r w:rsidR="00EF7CDF" w:rsidRPr="0001273A">
        <w:rPr>
          <w:rFonts w:ascii="Times New Roman" w:hAnsi="Times New Roman"/>
          <w:b/>
          <w:bCs/>
          <w:sz w:val="28"/>
          <w:szCs w:val="28"/>
          <w:lang w:val="en-US"/>
        </w:rPr>
        <w:t>lắp của công trình</w:t>
      </w:r>
      <w:r w:rsidR="00EF7CDF" w:rsidRPr="00471109">
        <w:rPr>
          <w:rFonts w:ascii="Times New Roman" w:hAnsi="Times New Roman"/>
          <w:sz w:val="28"/>
          <w:szCs w:val="28"/>
          <w:lang w:val="en-US"/>
        </w:rPr>
        <w:t xml:space="preserve"> (bao gồm thuế, phí, lệ phí và chi phí dự phòng nếu có) thuộc gói thầu đang xét (công trình A)</w:t>
      </w:r>
      <w:r w:rsidR="00EF7CDF">
        <w:rPr>
          <w:rFonts w:ascii="Times New Roman" w:hAnsi="Times New Roman"/>
          <w:sz w:val="28"/>
          <w:szCs w:val="28"/>
          <w:lang w:val="en-US"/>
        </w:rPr>
        <w:t>”</w:t>
      </w:r>
      <w:r w:rsidR="00EF7CDF" w:rsidRPr="00471109">
        <w:rPr>
          <w:rFonts w:ascii="Times New Roman" w:hAnsi="Times New Roman"/>
          <w:sz w:val="28"/>
          <w:szCs w:val="28"/>
          <w:lang w:val="en-US"/>
        </w:rPr>
        <w:t>.</w:t>
      </w:r>
    </w:p>
    <w:p w14:paraId="2D93381C" w14:textId="17C7192C" w:rsidR="005034F9" w:rsidRDefault="005034F9" w:rsidP="00E06D53">
      <w:pPr>
        <w:spacing w:before="120" w:after="120" w:line="264" w:lineRule="auto"/>
        <w:ind w:firstLine="720"/>
        <w:jc w:val="both"/>
        <w:rPr>
          <w:rFonts w:ascii="Times New Roman" w:hAnsi="Times New Roman"/>
          <w:sz w:val="28"/>
          <w:szCs w:val="28"/>
          <w:lang w:val="en-US"/>
        </w:rPr>
      </w:pPr>
      <w:r>
        <w:rPr>
          <w:rFonts w:ascii="Times New Roman" w:hAnsi="Times New Roman"/>
          <w:sz w:val="28"/>
          <w:szCs w:val="28"/>
          <w:lang w:val="en-US"/>
        </w:rPr>
        <w:t>Hiện nay đang có 02 phương án:</w:t>
      </w:r>
    </w:p>
    <w:p w14:paraId="64A9CB04" w14:textId="731C235B" w:rsidR="00C62861" w:rsidRDefault="005034F9" w:rsidP="00E06D53">
      <w:pPr>
        <w:spacing w:before="120" w:after="12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Pr="005034F9">
        <w:rPr>
          <w:rFonts w:ascii="Times New Roman" w:hAnsi="Times New Roman"/>
          <w:sz w:val="28"/>
          <w:szCs w:val="28"/>
          <w:u w:val="single"/>
          <w:lang w:val="en-US"/>
        </w:rPr>
        <w:t>Phương án 1</w:t>
      </w:r>
      <w:r>
        <w:rPr>
          <w:rFonts w:ascii="Times New Roman" w:hAnsi="Times New Roman"/>
          <w:sz w:val="28"/>
          <w:szCs w:val="28"/>
          <w:lang w:val="en-US"/>
        </w:rPr>
        <w:t xml:space="preserve">: </w:t>
      </w:r>
      <w:r w:rsidR="00CA4C33" w:rsidRPr="00CA4C33">
        <w:rPr>
          <w:rFonts w:ascii="Times New Roman" w:hAnsi="Times New Roman"/>
          <w:sz w:val="28"/>
          <w:szCs w:val="28"/>
          <w:lang w:val="en-US"/>
        </w:rPr>
        <w:t xml:space="preserve">quy định </w:t>
      </w:r>
      <w:r w:rsidR="0001273A">
        <w:rPr>
          <w:rFonts w:ascii="Times New Roman" w:hAnsi="Times New Roman"/>
          <w:sz w:val="28"/>
          <w:szCs w:val="28"/>
          <w:lang w:val="en-US"/>
        </w:rPr>
        <w:t>q</w:t>
      </w:r>
      <w:r w:rsidR="00C62861" w:rsidRPr="00CA4C33">
        <w:rPr>
          <w:rFonts w:ascii="Times New Roman" w:hAnsi="Times New Roman"/>
          <w:sz w:val="28"/>
          <w:szCs w:val="28"/>
          <w:lang w:val="en-US"/>
        </w:rPr>
        <w:t xml:space="preserve">uy mô (giá trị) của công trình tương tự quy định trong E-HSMT được xác định bằng 50% </w:t>
      </w:r>
      <w:r w:rsidR="00C62861" w:rsidRPr="0001273A">
        <w:rPr>
          <w:rFonts w:ascii="Times New Roman" w:hAnsi="Times New Roman"/>
          <w:b/>
          <w:bCs/>
          <w:sz w:val="28"/>
          <w:szCs w:val="28"/>
          <w:lang w:val="en-US"/>
        </w:rPr>
        <w:t xml:space="preserve">giá trị công trình của gói thầu đang xét </w:t>
      </w:r>
      <w:r w:rsidR="00C62861" w:rsidRPr="00CA4C33">
        <w:rPr>
          <w:rFonts w:ascii="Times New Roman" w:hAnsi="Times New Roman"/>
          <w:sz w:val="28"/>
          <w:szCs w:val="28"/>
          <w:lang w:val="en-US"/>
        </w:rPr>
        <w:t>(bao gồm chí phí dự phòng, thuế, phí, lệ phí nếu có)</w:t>
      </w:r>
      <w:r w:rsidR="00CA4C33" w:rsidRPr="00CA4C33">
        <w:rPr>
          <w:rFonts w:ascii="Times New Roman" w:hAnsi="Times New Roman"/>
          <w:sz w:val="28"/>
          <w:szCs w:val="28"/>
          <w:lang w:val="en-US"/>
        </w:rPr>
        <w:t>”</w:t>
      </w:r>
      <w:r w:rsidR="00C62861" w:rsidRPr="00CA4C33">
        <w:rPr>
          <w:rFonts w:ascii="Times New Roman" w:hAnsi="Times New Roman"/>
          <w:sz w:val="28"/>
          <w:szCs w:val="28"/>
          <w:lang w:val="en-US"/>
        </w:rPr>
        <w:t>.</w:t>
      </w:r>
    </w:p>
    <w:p w14:paraId="3F22F001" w14:textId="146DE835" w:rsidR="005034F9" w:rsidRDefault="005034F9" w:rsidP="00E06D53">
      <w:pPr>
        <w:spacing w:before="120" w:after="120" w:line="264" w:lineRule="auto"/>
        <w:ind w:firstLine="720"/>
        <w:jc w:val="both"/>
        <w:rPr>
          <w:rFonts w:ascii="Times New Roman" w:hAnsi="Times New Roman"/>
          <w:sz w:val="28"/>
          <w:szCs w:val="28"/>
          <w:lang w:val="en-US"/>
        </w:rPr>
      </w:pPr>
      <w:r>
        <w:rPr>
          <w:rFonts w:ascii="Times New Roman" w:hAnsi="Times New Roman"/>
          <w:sz w:val="28"/>
          <w:szCs w:val="28"/>
          <w:lang w:val="en-US"/>
        </w:rPr>
        <w:t>Lý do: để xác định giá trị công trình tương tự dễ dàng hơn.</w:t>
      </w:r>
    </w:p>
    <w:p w14:paraId="73064BE4" w14:textId="649E8E5D" w:rsidR="005034F9" w:rsidRPr="00CA4C33" w:rsidRDefault="005034F9" w:rsidP="00E06D53">
      <w:pPr>
        <w:spacing w:before="120" w:after="120" w:line="264"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Pr="005034F9">
        <w:rPr>
          <w:rFonts w:ascii="Times New Roman" w:hAnsi="Times New Roman"/>
          <w:sz w:val="28"/>
          <w:szCs w:val="28"/>
          <w:u w:val="single"/>
          <w:lang w:val="en-US"/>
        </w:rPr>
        <w:t>Phương án 2:</w:t>
      </w:r>
      <w:r>
        <w:rPr>
          <w:rFonts w:ascii="Times New Roman" w:hAnsi="Times New Roman"/>
          <w:sz w:val="28"/>
          <w:szCs w:val="28"/>
          <w:lang w:val="en-US"/>
        </w:rPr>
        <w:t xml:space="preserve"> quy định như Thông tư 06/2024/TT-BKHĐT.</w:t>
      </w:r>
    </w:p>
    <w:p w14:paraId="60DE4A6B" w14:textId="5F038B15" w:rsidR="00C62861" w:rsidRPr="00CA4C33" w:rsidRDefault="00C62861" w:rsidP="00E06D53">
      <w:pPr>
        <w:spacing w:before="120" w:after="120" w:line="264" w:lineRule="auto"/>
        <w:ind w:firstLine="720"/>
        <w:jc w:val="both"/>
        <w:rPr>
          <w:rFonts w:ascii="Times New Roman" w:hAnsi="Times New Roman"/>
          <w:b/>
          <w:bCs/>
          <w:sz w:val="28"/>
          <w:szCs w:val="28"/>
          <w:lang w:val="en-US"/>
        </w:rPr>
      </w:pPr>
      <w:r w:rsidRPr="00CA4C33">
        <w:rPr>
          <w:rFonts w:ascii="Times New Roman" w:hAnsi="Times New Roman"/>
          <w:b/>
          <w:bCs/>
          <w:sz w:val="28"/>
          <w:szCs w:val="28"/>
          <w:lang w:val="en-US"/>
        </w:rPr>
        <w:t xml:space="preserve">8. </w:t>
      </w:r>
      <w:r w:rsidR="00CA4C33" w:rsidRPr="00CA4C33">
        <w:rPr>
          <w:rFonts w:ascii="Times New Roman" w:hAnsi="Times New Roman"/>
          <w:b/>
          <w:bCs/>
          <w:sz w:val="28"/>
          <w:szCs w:val="28"/>
          <w:lang w:val="en-US"/>
        </w:rPr>
        <w:t>Về việc yêu cầu k</w:t>
      </w:r>
      <w:r w:rsidRPr="00CA4C33">
        <w:rPr>
          <w:rFonts w:ascii="Times New Roman" w:hAnsi="Times New Roman"/>
          <w:b/>
          <w:bCs/>
          <w:sz w:val="28"/>
          <w:szCs w:val="28"/>
          <w:lang w:val="en-US"/>
        </w:rPr>
        <w:t>inh nghiệm của nhân sự chủ chốt đối với gói thầu xây lắp</w:t>
      </w:r>
    </w:p>
    <w:p w14:paraId="6656BD8B" w14:textId="31C86B9D" w:rsidR="00B6090A" w:rsidRDefault="00B6090A" w:rsidP="00E06D53">
      <w:pPr>
        <w:spacing w:before="120" w:after="120" w:line="264" w:lineRule="auto"/>
        <w:ind w:firstLine="720"/>
        <w:jc w:val="both"/>
        <w:rPr>
          <w:rFonts w:ascii="Times New Roman" w:hAnsi="Times New Roman"/>
          <w:sz w:val="28"/>
          <w:szCs w:val="28"/>
          <w:lang w:val="en-US"/>
        </w:rPr>
      </w:pPr>
      <w:r>
        <w:rPr>
          <w:rFonts w:ascii="Times New Roman" w:hAnsi="Times New Roman"/>
          <w:sz w:val="28"/>
          <w:szCs w:val="28"/>
          <w:lang w:val="en-US"/>
        </w:rPr>
        <w:t>Thông tư 06/2024/TT-BKHĐT ngày 26/4/2024 của Bộ trưởng Bộ Kế hoạch và Đầu tư chưa quy định cụ thể về việc xác định</w:t>
      </w:r>
      <w:r w:rsidRPr="00B6090A">
        <w:rPr>
          <w:rFonts w:ascii="Times New Roman" w:hAnsi="Times New Roman"/>
          <w:sz w:val="28"/>
          <w:szCs w:val="28"/>
          <w:lang w:val="en-US"/>
        </w:rPr>
        <w:t xml:space="preserve"> </w:t>
      </w:r>
      <w:r w:rsidRPr="00CA4C33">
        <w:rPr>
          <w:rFonts w:ascii="Times New Roman" w:hAnsi="Times New Roman"/>
          <w:sz w:val="28"/>
          <w:szCs w:val="28"/>
          <w:lang w:val="en-US"/>
        </w:rPr>
        <w:t xml:space="preserve">loại kết cấu, cấp công trình của </w:t>
      </w:r>
      <w:r>
        <w:rPr>
          <w:rFonts w:ascii="Times New Roman" w:hAnsi="Times New Roman"/>
          <w:sz w:val="28"/>
          <w:szCs w:val="28"/>
          <w:lang w:val="en-US"/>
        </w:rPr>
        <w:t xml:space="preserve">công trình mà nhân sự chủ chốt đã thực hiện </w:t>
      </w:r>
      <w:r w:rsidRPr="00CA4C33">
        <w:rPr>
          <w:rFonts w:ascii="Times New Roman" w:hAnsi="Times New Roman"/>
          <w:sz w:val="28"/>
          <w:szCs w:val="28"/>
          <w:lang w:val="en-US"/>
        </w:rPr>
        <w:t>để chứng minh kinh nghiệm trong các công việc tương tự</w:t>
      </w:r>
      <w:r>
        <w:rPr>
          <w:rFonts w:ascii="Times New Roman" w:hAnsi="Times New Roman"/>
          <w:sz w:val="28"/>
          <w:szCs w:val="28"/>
          <w:lang w:val="en-US"/>
        </w:rPr>
        <w:t>.</w:t>
      </w:r>
    </w:p>
    <w:p w14:paraId="4AD9CF46" w14:textId="2616B34F" w:rsidR="00C62861" w:rsidRPr="00CA4C33" w:rsidRDefault="00CA4C33" w:rsidP="00E06D53">
      <w:pPr>
        <w:spacing w:before="120" w:after="120" w:line="264" w:lineRule="auto"/>
        <w:ind w:firstLine="720"/>
        <w:jc w:val="both"/>
        <w:rPr>
          <w:rFonts w:ascii="Times New Roman" w:hAnsi="Times New Roman"/>
          <w:sz w:val="28"/>
          <w:szCs w:val="28"/>
          <w:lang w:val="en-US"/>
        </w:rPr>
      </w:pPr>
      <w:r w:rsidRPr="00CA4C33">
        <w:rPr>
          <w:rFonts w:ascii="Times New Roman" w:hAnsi="Times New Roman"/>
          <w:sz w:val="28"/>
          <w:szCs w:val="28"/>
          <w:lang w:val="en-US"/>
        </w:rPr>
        <w:t>Dự thảo Thông tư quy định “</w:t>
      </w:r>
      <w:r w:rsidR="00C62861" w:rsidRPr="00CA4C33">
        <w:rPr>
          <w:rFonts w:ascii="Times New Roman" w:hAnsi="Times New Roman"/>
          <w:sz w:val="28"/>
          <w:szCs w:val="28"/>
          <w:lang w:val="en-US"/>
        </w:rPr>
        <w:t xml:space="preserve">Việc xác định loại kết cấu, cấp công trình của </w:t>
      </w:r>
      <w:r w:rsidR="00B6090A">
        <w:rPr>
          <w:rFonts w:ascii="Times New Roman" w:hAnsi="Times New Roman"/>
          <w:sz w:val="28"/>
          <w:szCs w:val="28"/>
          <w:lang w:val="en-US"/>
        </w:rPr>
        <w:t xml:space="preserve">công trình mà nhân sự chủ chốt đã thực hiện </w:t>
      </w:r>
      <w:r w:rsidR="00C62861" w:rsidRPr="00CA4C33">
        <w:rPr>
          <w:rFonts w:ascii="Times New Roman" w:hAnsi="Times New Roman"/>
          <w:sz w:val="28"/>
          <w:szCs w:val="28"/>
          <w:lang w:val="en-US"/>
        </w:rPr>
        <w:t>để chứng minh kinh nghiệm trong các công việc tương tự thực hiện theo quy định của pháp luật xây dựng tại thời điểm phê duyệt dự án đầu tư xây dựng công trình</w:t>
      </w:r>
      <w:r w:rsidRPr="00CA4C33">
        <w:rPr>
          <w:rFonts w:ascii="Times New Roman" w:hAnsi="Times New Roman"/>
          <w:sz w:val="28"/>
          <w:szCs w:val="28"/>
          <w:lang w:val="en-US"/>
        </w:rPr>
        <w:t xml:space="preserve"> mà nhân sự đó đã thực hiện”</w:t>
      </w:r>
      <w:r w:rsidR="00C62861" w:rsidRPr="00CA4C33">
        <w:rPr>
          <w:rFonts w:ascii="Times New Roman" w:hAnsi="Times New Roman"/>
          <w:sz w:val="28"/>
          <w:szCs w:val="28"/>
          <w:lang w:val="en-US"/>
        </w:rPr>
        <w:t>.</w:t>
      </w:r>
    </w:p>
    <w:p w14:paraId="12C93E49" w14:textId="210BBE43" w:rsidR="00C62861" w:rsidRPr="00471109" w:rsidRDefault="00471109" w:rsidP="00E06D53">
      <w:pPr>
        <w:spacing w:before="120" w:after="120" w:line="264" w:lineRule="auto"/>
        <w:ind w:firstLine="720"/>
        <w:jc w:val="both"/>
        <w:rPr>
          <w:rFonts w:ascii="Times New Roman" w:hAnsi="Times New Roman"/>
          <w:b/>
          <w:bCs/>
          <w:sz w:val="28"/>
          <w:szCs w:val="28"/>
          <w:lang w:val="en-US"/>
        </w:rPr>
      </w:pPr>
      <w:bookmarkStart w:id="2" w:name="_GoBack"/>
      <w:r w:rsidRPr="00471109">
        <w:rPr>
          <w:rFonts w:ascii="Times New Roman" w:hAnsi="Times New Roman"/>
          <w:b/>
          <w:bCs/>
          <w:sz w:val="28"/>
          <w:szCs w:val="28"/>
          <w:lang w:val="en-US"/>
        </w:rPr>
        <w:t>9. Về việc quy định giá dự thầu đối với gói thầu EPC</w:t>
      </w:r>
    </w:p>
    <w:bookmarkEnd w:id="2"/>
    <w:p w14:paraId="55447101" w14:textId="44B1A109" w:rsidR="00471109" w:rsidRPr="00471109" w:rsidRDefault="00471109" w:rsidP="00E06D53">
      <w:pPr>
        <w:spacing w:before="120" w:after="120" w:line="264" w:lineRule="auto"/>
        <w:ind w:firstLine="720"/>
        <w:jc w:val="both"/>
        <w:rPr>
          <w:rFonts w:ascii="Times New Roman" w:hAnsi="Times New Roman"/>
          <w:sz w:val="28"/>
          <w:szCs w:val="28"/>
          <w:lang w:val="en-US"/>
        </w:rPr>
      </w:pPr>
      <w:r>
        <w:rPr>
          <w:rFonts w:ascii="Times New Roman" w:hAnsi="Times New Roman"/>
          <w:sz w:val="28"/>
          <w:szCs w:val="28"/>
          <w:lang w:val="en-US"/>
        </w:rPr>
        <w:lastRenderedPageBreak/>
        <w:t>Dự thảo Thông tư quy định “</w:t>
      </w:r>
      <w:r w:rsidRPr="00471109">
        <w:rPr>
          <w:rFonts w:ascii="Times New Roman" w:hAnsi="Times New Roman"/>
          <w:sz w:val="28"/>
          <w:szCs w:val="28"/>
          <w:lang w:val="en-US"/>
        </w:rPr>
        <w:t>13.2. Trường hợp phạm vi công việc do Chủ đầu tư xác định  theo Mẫu số 01 (01A hoặc 01B hoặc 01C hoặc 01D) Chương IV:</w:t>
      </w:r>
    </w:p>
    <w:p w14:paraId="3DB00F00" w14:textId="77777777" w:rsidR="00471109" w:rsidRPr="00471109" w:rsidRDefault="00471109" w:rsidP="00E06D53">
      <w:pPr>
        <w:spacing w:before="120" w:after="120" w:line="252" w:lineRule="auto"/>
        <w:ind w:firstLine="720"/>
        <w:jc w:val="both"/>
        <w:rPr>
          <w:rFonts w:ascii="Times New Roman" w:hAnsi="Times New Roman"/>
          <w:spacing w:val="-2"/>
          <w:sz w:val="28"/>
          <w:szCs w:val="28"/>
          <w:lang w:val="en-US"/>
        </w:rPr>
      </w:pPr>
      <w:r w:rsidRPr="00471109">
        <w:rPr>
          <w:rFonts w:ascii="Times New Roman" w:hAnsi="Times New Roman"/>
          <w:spacing w:val="-2"/>
          <w:sz w:val="28"/>
          <w:szCs w:val="28"/>
          <w:lang w:val="en-US"/>
        </w:rPr>
        <w:t>Giá dự thầu bao gồm toàn bộ các chi phí cần thiết để thực hiện gói thầu theo yêu cầu của gói thầu. Nhà thầu phải chào đơn giá cho các hạng mục công việc nêu trong cột “Tổng hợp các hạng mục công việc” theo Mẫu số 11.1 (11.1A hoặc 11.1B hoặc 11.1C hoặc 11.1D) hoặc Mẫu số 11.2 (11.2A hoặc 11.2B hoặc 11.2C hoặc 11.2D) Chương IV. Nhà thầu có thể bổ sung hoặc giảm bớt các hạng mục công việc trong Bảng kê hạng mục công việc tại Mẫu số 11.1 (11.1A hoặc 11.1B hoặc 11.1C hoặc 11.1D) hoặc Mẫu số 11.2 (11.2A hoặc 11.2B hoặc 11.2C hoặc 11.2D) Chương IV để đáp ứng phạm vi công việc theo quy định tại Chương V.</w:t>
      </w:r>
    </w:p>
    <w:p w14:paraId="263C5276" w14:textId="77777777" w:rsidR="00471109" w:rsidRPr="00471109" w:rsidRDefault="00471109" w:rsidP="00E06D53">
      <w:pPr>
        <w:spacing w:before="120" w:after="120" w:line="252" w:lineRule="auto"/>
        <w:ind w:firstLine="720"/>
        <w:jc w:val="both"/>
        <w:rPr>
          <w:rFonts w:ascii="Times New Roman" w:hAnsi="Times New Roman"/>
          <w:sz w:val="28"/>
          <w:szCs w:val="28"/>
          <w:lang w:val="en-US"/>
        </w:rPr>
      </w:pPr>
      <w:r w:rsidRPr="00471109">
        <w:rPr>
          <w:rFonts w:ascii="Times New Roman" w:hAnsi="Times New Roman"/>
          <w:sz w:val="28"/>
          <w:szCs w:val="28"/>
          <w:lang w:val="en-US"/>
        </w:rPr>
        <w:t xml:space="preserve">Nhà thầu có trách nhiệm rà soát lại hạng mục công việc nêu trong E-HSMT (cả hạng mục công việc tổng quát và hạng mục công việc thành phần) để thực hiện gói thầu. Nhà thầu phải tự bổ sung và chào giá cho các hạng mục công việc mà nhà thầu phát hiện chưa bao gồm trong E-HSMT nhưng cần thiết để hoàn thành gói thầu. Trường hợp nhà thầu không bổ sung các hạng mục thiếu, cần thiết để thực hiện gói thầu hoặc tại cột “đơn giá” nhà thầu ghi là “0”, nhà thầu được coi là đã phân bổ giá của các hạng mục công việc này vào các hạng mục công việc khác của gói thầu, nhà thầu có trách nhiệm hoàn thành gói thầu theo yêu cầu của E-HSMT, đáp ứng yêu cầu kỹ thuật nêu tại Chương V và không được Chủ đầu tư thanh toán thêm bất kỳ khoản tiền nào trong quá trình thực hiện hợp đồng ngoài tổng số tiền đã chào theo hạng mục công việc. </w:t>
      </w:r>
    </w:p>
    <w:p w14:paraId="73343C13" w14:textId="77777777" w:rsidR="00471109" w:rsidRPr="00471109" w:rsidRDefault="00471109" w:rsidP="00E06D53">
      <w:pPr>
        <w:spacing w:before="120" w:after="120" w:line="252" w:lineRule="auto"/>
        <w:ind w:firstLine="720"/>
        <w:jc w:val="both"/>
        <w:rPr>
          <w:rFonts w:ascii="Times New Roman" w:hAnsi="Times New Roman"/>
          <w:sz w:val="28"/>
          <w:szCs w:val="28"/>
          <w:lang w:val="en-US"/>
        </w:rPr>
      </w:pPr>
      <w:r w:rsidRPr="00471109">
        <w:rPr>
          <w:rFonts w:ascii="Times New Roman" w:hAnsi="Times New Roman"/>
          <w:sz w:val="28"/>
          <w:szCs w:val="28"/>
          <w:lang w:val="en-US"/>
        </w:rPr>
        <w:t xml:space="preserve">Không tiến hành hiệu chỉnh sai lệch trong trường hợp hạng mục công việc do Nhà thầu bổ sung (nếu có) khác so với hạng mục công việc nêu trong E-HSMT, trừ trường hợp hạng mục công việc này là thừa so với yêu cầu của E-HSMT để thực hiện gói thầu. </w:t>
      </w:r>
    </w:p>
    <w:p w14:paraId="35F1A27C" w14:textId="77777777" w:rsidR="00471109" w:rsidRPr="00471109" w:rsidRDefault="00471109" w:rsidP="00E06D53">
      <w:pPr>
        <w:spacing w:before="120" w:after="120" w:line="252" w:lineRule="auto"/>
        <w:ind w:firstLine="720"/>
        <w:jc w:val="both"/>
        <w:rPr>
          <w:rFonts w:ascii="Times New Roman" w:hAnsi="Times New Roman"/>
          <w:sz w:val="28"/>
          <w:szCs w:val="28"/>
          <w:lang w:val="en-US"/>
        </w:rPr>
      </w:pPr>
      <w:r w:rsidRPr="00471109">
        <w:rPr>
          <w:rFonts w:ascii="Times New Roman" w:hAnsi="Times New Roman"/>
          <w:sz w:val="28"/>
          <w:szCs w:val="28"/>
          <w:lang w:val="en-US"/>
        </w:rPr>
        <w:t>13.3. Trường hợp phạm vi công việc do Nhà thầu tự xác định:</w:t>
      </w:r>
    </w:p>
    <w:p w14:paraId="0CFF512F" w14:textId="3023E7DA" w:rsidR="00343ADA" w:rsidRPr="00E17A6B" w:rsidRDefault="00471109" w:rsidP="00E06D53">
      <w:pPr>
        <w:spacing w:before="120" w:after="120" w:line="252" w:lineRule="auto"/>
        <w:ind w:firstLine="720"/>
        <w:jc w:val="both"/>
        <w:rPr>
          <w:rFonts w:ascii="Times New Roman" w:hAnsi="Times New Roman"/>
          <w:sz w:val="28"/>
          <w:szCs w:val="28"/>
          <w:lang w:val="en-US"/>
        </w:rPr>
      </w:pPr>
      <w:r w:rsidRPr="00471109">
        <w:rPr>
          <w:rFonts w:ascii="Times New Roman" w:hAnsi="Times New Roman"/>
          <w:sz w:val="28"/>
          <w:szCs w:val="28"/>
          <w:lang w:val="en-US"/>
        </w:rPr>
        <w:t>Giá dự thầu bao gồm toàn bộ các chi phí cần thiết để thực hiện gói thầu theo yêu cầu của gói thầu. Nhà thầu phải liệt kê hạng mục công việc và ghi đơn giá dự thầu cho tất cả các công việc nêu trong cột “Tổng hợp các hạng mục công việc” theo Mẫu số 11.1 (11.1A hoặc 11.1B hoặc 11.1C hoặc 11.1D) hoặc 11.2 (11.2A hoặc 11.2B hoặc 11.2C hoặc 11.2D) Chương IV để đáp ứng phạm vi công việc theo quy định tại Chương V. Trường hợp nhà thầu không bổ sung các hạng mục thiếu, cần thiết để thực hiện gói thầu hoặc tại cột “đơn giá” nhà thầu ghi là “0” hoặc nhà thầu chào không đầy đủ hạng mục công việc cần thiết để thực hiện gói thầu thì được coi là nhà thầu đã phân bổ giá của hạng mục công việc này vào giá của hạng mục công việc khác thuộc gói thầu. Nhà thầu phải có trách nhiệm thực hiện toàn bộ các công việc này theo đúng yêu cầu nêu trong E-HSMT và không được Chủ đầu tư thanh toán thêm bất kỳ khoản tiền nào trong quá trình thực hiện hợp đồng ngoài tổng số tiền đã chào theo hạng mục công việc. Trường hợp hạng mục công việc nhà thầu chào là thừa, không cần thiết để thực hiện gói thầu thì được coi là chào thừa và bị hiệu chỉnh sai lệch thừa.</w:t>
      </w:r>
      <w:r>
        <w:rPr>
          <w:rFonts w:ascii="Times New Roman" w:hAnsi="Times New Roman"/>
          <w:sz w:val="28"/>
          <w:szCs w:val="28"/>
          <w:lang w:val="en-US"/>
        </w:rPr>
        <w:t>”</w:t>
      </w:r>
    </w:p>
    <w:p w14:paraId="39DA1EE3" w14:textId="77777777" w:rsidR="000A548A" w:rsidRPr="00B638F1" w:rsidRDefault="000A548A" w:rsidP="00B638F1">
      <w:pPr>
        <w:spacing w:after="0" w:line="240" w:lineRule="auto"/>
        <w:jc w:val="both"/>
        <w:rPr>
          <w:rFonts w:ascii="Times New Roman" w:hAnsi="Times New Roman"/>
          <w:sz w:val="28"/>
          <w:szCs w:val="28"/>
        </w:rPr>
      </w:pPr>
    </w:p>
    <w:p w14:paraId="7FDFC7BF" w14:textId="77777777" w:rsidR="00D04F00" w:rsidRPr="00B638F1" w:rsidRDefault="00D04F00" w:rsidP="00B638F1">
      <w:pPr>
        <w:jc w:val="both"/>
        <w:rPr>
          <w:rFonts w:ascii="Times New Roman" w:hAnsi="Times New Roman"/>
          <w:sz w:val="28"/>
          <w:szCs w:val="28"/>
        </w:rPr>
      </w:pPr>
    </w:p>
    <w:sectPr w:rsidR="00D04F00" w:rsidRPr="00B638F1" w:rsidSect="00CA2C04">
      <w:headerReference w:type="first" r:id="rId7"/>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C157A" w14:textId="77777777" w:rsidR="0050780E" w:rsidRDefault="0050780E" w:rsidP="005F1B50">
      <w:pPr>
        <w:spacing w:after="0" w:line="240" w:lineRule="auto"/>
      </w:pPr>
      <w:r>
        <w:separator/>
      </w:r>
    </w:p>
  </w:endnote>
  <w:endnote w:type="continuationSeparator" w:id="0">
    <w:p w14:paraId="6446BBDD" w14:textId="77777777" w:rsidR="0050780E" w:rsidRDefault="0050780E" w:rsidP="005F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4F18F" w14:textId="77777777" w:rsidR="0050780E" w:rsidRDefault="0050780E" w:rsidP="005F1B50">
      <w:pPr>
        <w:spacing w:after="0" w:line="240" w:lineRule="auto"/>
      </w:pPr>
      <w:r>
        <w:separator/>
      </w:r>
    </w:p>
  </w:footnote>
  <w:footnote w:type="continuationSeparator" w:id="0">
    <w:p w14:paraId="1A5CCE92" w14:textId="77777777" w:rsidR="0050780E" w:rsidRDefault="0050780E" w:rsidP="005F1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AD71D" w14:textId="77777777" w:rsidR="00D14A15" w:rsidRPr="00D14A15" w:rsidRDefault="00D14A15">
    <w:pPr>
      <w:pStyle w:val="Header"/>
      <w:jc w:val="center"/>
      <w:rPr>
        <w:rFonts w:ascii="Times New Roman" w:hAnsi="Times New Roman"/>
      </w:rPr>
    </w:pPr>
    <w:r w:rsidRPr="00D14A15">
      <w:rPr>
        <w:rFonts w:ascii="Times New Roman" w:hAnsi="Times New Roman"/>
      </w:rPr>
      <w:fldChar w:fldCharType="begin"/>
    </w:r>
    <w:r w:rsidRPr="00D14A15">
      <w:rPr>
        <w:rFonts w:ascii="Times New Roman" w:hAnsi="Times New Roman"/>
      </w:rPr>
      <w:instrText xml:space="preserve"> PAGE   \* MERGEFORMAT </w:instrText>
    </w:r>
    <w:r w:rsidRPr="00D14A15">
      <w:rPr>
        <w:rFonts w:ascii="Times New Roman" w:hAnsi="Times New Roman"/>
      </w:rPr>
      <w:fldChar w:fldCharType="separate"/>
    </w:r>
    <w:r w:rsidRPr="00D14A15">
      <w:rPr>
        <w:rFonts w:ascii="Times New Roman" w:hAnsi="Times New Roman"/>
        <w:noProof/>
      </w:rPr>
      <w:t>2</w:t>
    </w:r>
    <w:r w:rsidRPr="00D14A15">
      <w:rPr>
        <w:rFonts w:ascii="Times New Roman" w:hAnsi="Times New Roman"/>
        <w:noProof/>
      </w:rPr>
      <w:fldChar w:fldCharType="end"/>
    </w:r>
  </w:p>
  <w:p w14:paraId="5C2B394B" w14:textId="77777777" w:rsidR="00D14A15" w:rsidRPr="00D14A15" w:rsidRDefault="00D14A15" w:rsidP="00D14A15">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3FB"/>
    <w:multiLevelType w:val="hybridMultilevel"/>
    <w:tmpl w:val="0C66E11E"/>
    <w:lvl w:ilvl="0" w:tplc="494E9052">
      <w:start w:val="6"/>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6C2E98"/>
    <w:multiLevelType w:val="hybridMultilevel"/>
    <w:tmpl w:val="90580F72"/>
    <w:lvl w:ilvl="0" w:tplc="4AFCFA6C">
      <w:start w:val="6"/>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F263111"/>
    <w:multiLevelType w:val="hybridMultilevel"/>
    <w:tmpl w:val="27E25A2E"/>
    <w:lvl w:ilvl="0" w:tplc="4820801C">
      <w:start w:val="1"/>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1AA168B"/>
    <w:multiLevelType w:val="hybridMultilevel"/>
    <w:tmpl w:val="2982E8C4"/>
    <w:lvl w:ilvl="0" w:tplc="2BA000F8">
      <w:start w:val="1"/>
      <w:numFmt w:val="decimal"/>
      <w:lvlText w:val="%1."/>
      <w:lvlJc w:val="left"/>
      <w:pPr>
        <w:ind w:left="4230"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8A84D7A"/>
    <w:multiLevelType w:val="hybridMultilevel"/>
    <w:tmpl w:val="A36E6216"/>
    <w:lvl w:ilvl="0" w:tplc="370AED8C">
      <w:start w:val="1"/>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AD85720"/>
    <w:multiLevelType w:val="hybridMultilevel"/>
    <w:tmpl w:val="95987398"/>
    <w:lvl w:ilvl="0" w:tplc="4CAAAC1E">
      <w:start w:val="6"/>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A9"/>
    <w:rsid w:val="0001273A"/>
    <w:rsid w:val="00015382"/>
    <w:rsid w:val="000170A9"/>
    <w:rsid w:val="000340CC"/>
    <w:rsid w:val="0004400D"/>
    <w:rsid w:val="000522D5"/>
    <w:rsid w:val="0006421B"/>
    <w:rsid w:val="00084AD1"/>
    <w:rsid w:val="00094EB8"/>
    <w:rsid w:val="00096E29"/>
    <w:rsid w:val="000A548A"/>
    <w:rsid w:val="000C016A"/>
    <w:rsid w:val="000E0A78"/>
    <w:rsid w:val="000F208D"/>
    <w:rsid w:val="000F4ADE"/>
    <w:rsid w:val="00112BB8"/>
    <w:rsid w:val="00117D7C"/>
    <w:rsid w:val="00122698"/>
    <w:rsid w:val="001272FD"/>
    <w:rsid w:val="00130DB9"/>
    <w:rsid w:val="00160EFE"/>
    <w:rsid w:val="00172533"/>
    <w:rsid w:val="00174B88"/>
    <w:rsid w:val="00177285"/>
    <w:rsid w:val="00186B53"/>
    <w:rsid w:val="00191829"/>
    <w:rsid w:val="001A708E"/>
    <w:rsid w:val="001C02BE"/>
    <w:rsid w:val="001C052F"/>
    <w:rsid w:val="001C21C2"/>
    <w:rsid w:val="001F2F94"/>
    <w:rsid w:val="001F440C"/>
    <w:rsid w:val="001F7CF4"/>
    <w:rsid w:val="002007E5"/>
    <w:rsid w:val="00200EE0"/>
    <w:rsid w:val="00224587"/>
    <w:rsid w:val="00224863"/>
    <w:rsid w:val="002568A0"/>
    <w:rsid w:val="00276714"/>
    <w:rsid w:val="00283BDF"/>
    <w:rsid w:val="002C0FCD"/>
    <w:rsid w:val="002D11DF"/>
    <w:rsid w:val="002D2788"/>
    <w:rsid w:val="002D3DE4"/>
    <w:rsid w:val="002F7C24"/>
    <w:rsid w:val="002F7D45"/>
    <w:rsid w:val="00300549"/>
    <w:rsid w:val="003149B3"/>
    <w:rsid w:val="00332F89"/>
    <w:rsid w:val="00343ADA"/>
    <w:rsid w:val="00345783"/>
    <w:rsid w:val="00346367"/>
    <w:rsid w:val="003516D5"/>
    <w:rsid w:val="00361100"/>
    <w:rsid w:val="003642EF"/>
    <w:rsid w:val="00365710"/>
    <w:rsid w:val="00366520"/>
    <w:rsid w:val="00366E5B"/>
    <w:rsid w:val="003823EF"/>
    <w:rsid w:val="00382DF6"/>
    <w:rsid w:val="0038334D"/>
    <w:rsid w:val="003B16FF"/>
    <w:rsid w:val="003B2112"/>
    <w:rsid w:val="003B7F8E"/>
    <w:rsid w:val="003D0A3F"/>
    <w:rsid w:val="003D6C73"/>
    <w:rsid w:val="003E5015"/>
    <w:rsid w:val="003F5FAD"/>
    <w:rsid w:val="0041053A"/>
    <w:rsid w:val="00416012"/>
    <w:rsid w:val="004211EF"/>
    <w:rsid w:val="00423B1E"/>
    <w:rsid w:val="00441E88"/>
    <w:rsid w:val="00443867"/>
    <w:rsid w:val="004473CA"/>
    <w:rsid w:val="004550CD"/>
    <w:rsid w:val="00456C11"/>
    <w:rsid w:val="004605E2"/>
    <w:rsid w:val="00471109"/>
    <w:rsid w:val="0049507D"/>
    <w:rsid w:val="00495799"/>
    <w:rsid w:val="004A4D14"/>
    <w:rsid w:val="004D55EF"/>
    <w:rsid w:val="004D5ABC"/>
    <w:rsid w:val="004F15DD"/>
    <w:rsid w:val="00500FA8"/>
    <w:rsid w:val="005034F9"/>
    <w:rsid w:val="0050780E"/>
    <w:rsid w:val="00512881"/>
    <w:rsid w:val="0051656A"/>
    <w:rsid w:val="005219BF"/>
    <w:rsid w:val="00523BFA"/>
    <w:rsid w:val="00527BA8"/>
    <w:rsid w:val="00550F19"/>
    <w:rsid w:val="005877A3"/>
    <w:rsid w:val="005A0E8F"/>
    <w:rsid w:val="005A584A"/>
    <w:rsid w:val="005A596D"/>
    <w:rsid w:val="005B0542"/>
    <w:rsid w:val="005B2FB2"/>
    <w:rsid w:val="005B54E2"/>
    <w:rsid w:val="005B70DC"/>
    <w:rsid w:val="005D40AD"/>
    <w:rsid w:val="005D4489"/>
    <w:rsid w:val="005F1B50"/>
    <w:rsid w:val="00600BB9"/>
    <w:rsid w:val="006157E4"/>
    <w:rsid w:val="006274BA"/>
    <w:rsid w:val="00633723"/>
    <w:rsid w:val="00634EF5"/>
    <w:rsid w:val="00643D93"/>
    <w:rsid w:val="006507C8"/>
    <w:rsid w:val="006513BC"/>
    <w:rsid w:val="0066394B"/>
    <w:rsid w:val="006757AD"/>
    <w:rsid w:val="006767F0"/>
    <w:rsid w:val="006926D7"/>
    <w:rsid w:val="006A3CAD"/>
    <w:rsid w:val="006C3118"/>
    <w:rsid w:val="006D009D"/>
    <w:rsid w:val="006D1E73"/>
    <w:rsid w:val="006E50FF"/>
    <w:rsid w:val="006F3204"/>
    <w:rsid w:val="0071178C"/>
    <w:rsid w:val="007128A4"/>
    <w:rsid w:val="00722052"/>
    <w:rsid w:val="00742A16"/>
    <w:rsid w:val="00754313"/>
    <w:rsid w:val="00756F33"/>
    <w:rsid w:val="00760A6C"/>
    <w:rsid w:val="00770485"/>
    <w:rsid w:val="007801F1"/>
    <w:rsid w:val="00783A3A"/>
    <w:rsid w:val="00785C2C"/>
    <w:rsid w:val="007C0916"/>
    <w:rsid w:val="007D0487"/>
    <w:rsid w:val="007D29D9"/>
    <w:rsid w:val="007E4F0C"/>
    <w:rsid w:val="008067F4"/>
    <w:rsid w:val="00810A07"/>
    <w:rsid w:val="00812071"/>
    <w:rsid w:val="00827C13"/>
    <w:rsid w:val="008445B6"/>
    <w:rsid w:val="00846022"/>
    <w:rsid w:val="00853AB8"/>
    <w:rsid w:val="0085434D"/>
    <w:rsid w:val="008616DE"/>
    <w:rsid w:val="00867859"/>
    <w:rsid w:val="008742B3"/>
    <w:rsid w:val="00877746"/>
    <w:rsid w:val="008A588F"/>
    <w:rsid w:val="008B46A4"/>
    <w:rsid w:val="008D34B8"/>
    <w:rsid w:val="008E7777"/>
    <w:rsid w:val="00903E51"/>
    <w:rsid w:val="00914AE8"/>
    <w:rsid w:val="00914B6A"/>
    <w:rsid w:val="00917EF0"/>
    <w:rsid w:val="00926437"/>
    <w:rsid w:val="00926941"/>
    <w:rsid w:val="009273C2"/>
    <w:rsid w:val="0097166E"/>
    <w:rsid w:val="0097513B"/>
    <w:rsid w:val="009864A1"/>
    <w:rsid w:val="00995676"/>
    <w:rsid w:val="009A0C29"/>
    <w:rsid w:val="009C2F77"/>
    <w:rsid w:val="009D1AAB"/>
    <w:rsid w:val="00A06272"/>
    <w:rsid w:val="00A162FC"/>
    <w:rsid w:val="00A208FE"/>
    <w:rsid w:val="00A237CC"/>
    <w:rsid w:val="00A32824"/>
    <w:rsid w:val="00A4549B"/>
    <w:rsid w:val="00A63C0D"/>
    <w:rsid w:val="00A81EDD"/>
    <w:rsid w:val="00AD2E9F"/>
    <w:rsid w:val="00AD79AC"/>
    <w:rsid w:val="00AD7C8E"/>
    <w:rsid w:val="00AF1727"/>
    <w:rsid w:val="00B00DFD"/>
    <w:rsid w:val="00B130A2"/>
    <w:rsid w:val="00B23EF3"/>
    <w:rsid w:val="00B6090A"/>
    <w:rsid w:val="00B638F1"/>
    <w:rsid w:val="00BA60DC"/>
    <w:rsid w:val="00BB05D4"/>
    <w:rsid w:val="00BC73C4"/>
    <w:rsid w:val="00BC7D79"/>
    <w:rsid w:val="00BD4049"/>
    <w:rsid w:val="00BE77B8"/>
    <w:rsid w:val="00BF4223"/>
    <w:rsid w:val="00BF4FA4"/>
    <w:rsid w:val="00BF734F"/>
    <w:rsid w:val="00C02846"/>
    <w:rsid w:val="00C15690"/>
    <w:rsid w:val="00C31D3D"/>
    <w:rsid w:val="00C32AF3"/>
    <w:rsid w:val="00C410DF"/>
    <w:rsid w:val="00C41EFF"/>
    <w:rsid w:val="00C62861"/>
    <w:rsid w:val="00C66861"/>
    <w:rsid w:val="00C74643"/>
    <w:rsid w:val="00C75BD8"/>
    <w:rsid w:val="00C96999"/>
    <w:rsid w:val="00CA0F42"/>
    <w:rsid w:val="00CA1D8E"/>
    <w:rsid w:val="00CA2C04"/>
    <w:rsid w:val="00CA4C33"/>
    <w:rsid w:val="00CD1862"/>
    <w:rsid w:val="00CF447A"/>
    <w:rsid w:val="00D04F00"/>
    <w:rsid w:val="00D06EB5"/>
    <w:rsid w:val="00D1435E"/>
    <w:rsid w:val="00D14A15"/>
    <w:rsid w:val="00D158A7"/>
    <w:rsid w:val="00D165C0"/>
    <w:rsid w:val="00D2253E"/>
    <w:rsid w:val="00D31229"/>
    <w:rsid w:val="00D34DD4"/>
    <w:rsid w:val="00D352FC"/>
    <w:rsid w:val="00D62660"/>
    <w:rsid w:val="00D660B5"/>
    <w:rsid w:val="00D74A54"/>
    <w:rsid w:val="00D92FF8"/>
    <w:rsid w:val="00DA1738"/>
    <w:rsid w:val="00DA2D6C"/>
    <w:rsid w:val="00DA584A"/>
    <w:rsid w:val="00DB083B"/>
    <w:rsid w:val="00DF7F8C"/>
    <w:rsid w:val="00E04206"/>
    <w:rsid w:val="00E06D53"/>
    <w:rsid w:val="00E10A43"/>
    <w:rsid w:val="00E173A2"/>
    <w:rsid w:val="00E17A6B"/>
    <w:rsid w:val="00E337E3"/>
    <w:rsid w:val="00E36ECF"/>
    <w:rsid w:val="00E44893"/>
    <w:rsid w:val="00E669E3"/>
    <w:rsid w:val="00E71F66"/>
    <w:rsid w:val="00E72F10"/>
    <w:rsid w:val="00E84138"/>
    <w:rsid w:val="00E85225"/>
    <w:rsid w:val="00E90DDC"/>
    <w:rsid w:val="00EA2D52"/>
    <w:rsid w:val="00EA48D7"/>
    <w:rsid w:val="00EB2AE8"/>
    <w:rsid w:val="00EC4602"/>
    <w:rsid w:val="00EC4D9F"/>
    <w:rsid w:val="00ED2ADB"/>
    <w:rsid w:val="00ED3B2A"/>
    <w:rsid w:val="00EF7CDF"/>
    <w:rsid w:val="00EF7F72"/>
    <w:rsid w:val="00F03CD6"/>
    <w:rsid w:val="00F10ABF"/>
    <w:rsid w:val="00F25F9F"/>
    <w:rsid w:val="00F34D80"/>
    <w:rsid w:val="00F4244C"/>
    <w:rsid w:val="00F54078"/>
    <w:rsid w:val="00F57416"/>
    <w:rsid w:val="00FA2619"/>
    <w:rsid w:val="00FA5848"/>
    <w:rsid w:val="00FB4684"/>
    <w:rsid w:val="00FC2C49"/>
    <w:rsid w:val="00FC3DB1"/>
    <w:rsid w:val="00FC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EAEA6"/>
  <w15:chartTrackingRefBased/>
  <w15:docId w15:val="{CD90C8C7-75BA-4C6E-BF77-2FE9C829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paragraph" w:styleId="Heading1">
    <w:name w:val="heading 1"/>
    <w:basedOn w:val="Normal"/>
    <w:next w:val="Normal"/>
    <w:link w:val="Heading1Char"/>
    <w:uiPriority w:val="99"/>
    <w:qFormat/>
    <w:rsid w:val="00D04F00"/>
    <w:pPr>
      <w:keepNext/>
      <w:spacing w:before="240" w:after="60" w:line="240" w:lineRule="auto"/>
      <w:outlineLvl w:val="0"/>
    </w:pPr>
    <w:rPr>
      <w:rFonts w:ascii="Cambria" w:eastAsia="Times New Roman" w:hAnsi="Cambria"/>
      <w:b/>
      <w:kern w:val="32"/>
      <w:sz w:val="32"/>
      <w:szCs w:val="20"/>
      <w:lang w:val="x-none" w:eastAsia="x-none"/>
    </w:rPr>
  </w:style>
  <w:style w:type="paragraph" w:styleId="Heading2">
    <w:name w:val="heading 2"/>
    <w:basedOn w:val="Normal"/>
    <w:next w:val="Normal"/>
    <w:link w:val="Heading2Char"/>
    <w:uiPriority w:val="9"/>
    <w:semiHidden/>
    <w:unhideWhenUsed/>
    <w:qFormat/>
    <w:rsid w:val="004211E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22486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0E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00EE0"/>
    <w:rPr>
      <w:rFonts w:ascii="Segoe UI" w:hAnsi="Segoe UI" w:cs="Segoe UI"/>
      <w:sz w:val="18"/>
      <w:szCs w:val="18"/>
      <w:lang w:eastAsia="en-US"/>
    </w:rPr>
  </w:style>
  <w:style w:type="character" w:customStyle="1" w:styleId="Heading1Char">
    <w:name w:val="Heading 1 Char"/>
    <w:link w:val="Heading1"/>
    <w:uiPriority w:val="99"/>
    <w:rsid w:val="00D04F00"/>
    <w:rPr>
      <w:rFonts w:ascii="Cambria" w:eastAsia="Times New Roman" w:hAnsi="Cambria"/>
      <w:b/>
      <w:kern w:val="32"/>
      <w:sz w:val="32"/>
      <w:lang w:val="x-none" w:eastAsia="x-none"/>
    </w:rPr>
  </w:style>
  <w:style w:type="paragraph" w:styleId="Header">
    <w:name w:val="header"/>
    <w:basedOn w:val="Normal"/>
    <w:link w:val="HeaderChar"/>
    <w:uiPriority w:val="99"/>
    <w:unhideWhenUsed/>
    <w:rsid w:val="005F1B50"/>
    <w:pPr>
      <w:tabs>
        <w:tab w:val="center" w:pos="4513"/>
        <w:tab w:val="right" w:pos="9026"/>
      </w:tabs>
    </w:pPr>
  </w:style>
  <w:style w:type="character" w:customStyle="1" w:styleId="HeaderChar">
    <w:name w:val="Header Char"/>
    <w:link w:val="Header"/>
    <w:uiPriority w:val="99"/>
    <w:rsid w:val="005F1B50"/>
    <w:rPr>
      <w:sz w:val="22"/>
      <w:szCs w:val="22"/>
      <w:lang w:eastAsia="en-US"/>
    </w:rPr>
  </w:style>
  <w:style w:type="paragraph" w:styleId="Footer">
    <w:name w:val="footer"/>
    <w:basedOn w:val="Normal"/>
    <w:link w:val="FooterChar"/>
    <w:uiPriority w:val="99"/>
    <w:unhideWhenUsed/>
    <w:rsid w:val="005F1B50"/>
    <w:pPr>
      <w:tabs>
        <w:tab w:val="center" w:pos="4513"/>
        <w:tab w:val="right" w:pos="9026"/>
      </w:tabs>
    </w:pPr>
  </w:style>
  <w:style w:type="character" w:customStyle="1" w:styleId="FooterChar">
    <w:name w:val="Footer Char"/>
    <w:link w:val="Footer"/>
    <w:uiPriority w:val="99"/>
    <w:rsid w:val="005F1B50"/>
    <w:rPr>
      <w:sz w:val="22"/>
      <w:szCs w:val="22"/>
      <w:lang w:eastAsia="en-US"/>
    </w:rPr>
  </w:style>
  <w:style w:type="paragraph" w:styleId="BodyTextIndent2">
    <w:name w:val="Body Text Indent 2"/>
    <w:basedOn w:val="Normal"/>
    <w:link w:val="BodyTextIndent2Char"/>
    <w:uiPriority w:val="99"/>
    <w:unhideWhenUsed/>
    <w:rsid w:val="00365710"/>
    <w:pPr>
      <w:spacing w:after="120" w:line="480" w:lineRule="auto"/>
      <w:ind w:left="283"/>
    </w:pPr>
    <w:rPr>
      <w:rFonts w:ascii="Calibri" w:eastAsia="Calibri" w:hAnsi="Calibri"/>
      <w:szCs w:val="20"/>
      <w:lang w:val="en-US" w:eastAsia="x-none"/>
    </w:rPr>
  </w:style>
  <w:style w:type="character" w:customStyle="1" w:styleId="BodyTextIndent2Char">
    <w:name w:val="Body Text Indent 2 Char"/>
    <w:link w:val="BodyTextIndent2"/>
    <w:uiPriority w:val="99"/>
    <w:rsid w:val="00365710"/>
    <w:rPr>
      <w:rFonts w:ascii="Calibri" w:eastAsia="Calibri" w:hAnsi="Calibri"/>
      <w:sz w:val="22"/>
      <w:lang w:eastAsia="x-none"/>
    </w:rPr>
  </w:style>
  <w:style w:type="paragraph" w:styleId="NormalWeb">
    <w:name w:val="Normal (Web)"/>
    <w:basedOn w:val="Normal"/>
    <w:uiPriority w:val="99"/>
    <w:rsid w:val="00BC7D79"/>
    <w:pPr>
      <w:spacing w:before="100" w:beforeAutospacing="1" w:after="100" w:afterAutospacing="1" w:line="240" w:lineRule="auto"/>
      <w:jc w:val="both"/>
    </w:pPr>
    <w:rPr>
      <w:rFonts w:ascii="Times New Roman" w:eastAsia="Times New Roman" w:hAnsi="Times New Roman"/>
      <w:sz w:val="24"/>
      <w:szCs w:val="24"/>
      <w:lang w:val="en-US"/>
    </w:rPr>
  </w:style>
  <w:style w:type="character" w:styleId="CommentReference">
    <w:name w:val="annotation reference"/>
    <w:uiPriority w:val="99"/>
    <w:unhideWhenUsed/>
    <w:rsid w:val="00BC7D79"/>
    <w:rPr>
      <w:sz w:val="16"/>
      <w:szCs w:val="16"/>
    </w:rPr>
  </w:style>
  <w:style w:type="paragraph" w:styleId="CommentText">
    <w:name w:val="annotation text"/>
    <w:basedOn w:val="Normal"/>
    <w:link w:val="CommentTextChar"/>
    <w:uiPriority w:val="99"/>
    <w:unhideWhenUsed/>
    <w:rsid w:val="00BC7D79"/>
    <w:pPr>
      <w:jc w:val="both"/>
    </w:pPr>
    <w:rPr>
      <w:rFonts w:ascii="Calibri" w:eastAsia="Calibri" w:hAnsi="Calibri"/>
      <w:sz w:val="20"/>
      <w:szCs w:val="20"/>
      <w:lang w:val="x-none" w:eastAsia="x-none"/>
    </w:rPr>
  </w:style>
  <w:style w:type="character" w:customStyle="1" w:styleId="CommentTextChar">
    <w:name w:val="Comment Text Char"/>
    <w:link w:val="CommentText"/>
    <w:uiPriority w:val="99"/>
    <w:rsid w:val="00BC7D79"/>
    <w:rPr>
      <w:rFonts w:ascii="Calibri" w:eastAsia="Calibri" w:hAnsi="Calibri"/>
      <w:lang w:val="x-none" w:eastAsia="x-none"/>
    </w:rPr>
  </w:style>
  <w:style w:type="paragraph" w:styleId="CommentSubject">
    <w:name w:val="annotation subject"/>
    <w:basedOn w:val="CommentText"/>
    <w:next w:val="CommentText"/>
    <w:link w:val="CommentSubjectChar"/>
    <w:uiPriority w:val="99"/>
    <w:semiHidden/>
    <w:unhideWhenUsed/>
    <w:rsid w:val="001F440C"/>
    <w:pPr>
      <w:jc w:val="left"/>
    </w:pPr>
    <w:rPr>
      <w:rFonts w:ascii="Arial" w:eastAsia="Arial" w:hAnsi="Arial"/>
      <w:b/>
      <w:bCs/>
      <w:lang w:val="vi-VN" w:eastAsia="en-US"/>
    </w:rPr>
  </w:style>
  <w:style w:type="character" w:customStyle="1" w:styleId="CommentSubjectChar">
    <w:name w:val="Comment Subject Char"/>
    <w:link w:val="CommentSubject"/>
    <w:uiPriority w:val="99"/>
    <w:semiHidden/>
    <w:rsid w:val="001F440C"/>
    <w:rPr>
      <w:rFonts w:ascii="Calibri" w:eastAsia="Calibri" w:hAnsi="Calibri"/>
      <w:b/>
      <w:bCs/>
      <w:lang w:val="vi-VN" w:eastAsia="x-none"/>
    </w:rPr>
  </w:style>
  <w:style w:type="character" w:customStyle="1" w:styleId="Heading3Char">
    <w:name w:val="Heading 3 Char"/>
    <w:link w:val="Heading3"/>
    <w:uiPriority w:val="9"/>
    <w:semiHidden/>
    <w:rsid w:val="00224863"/>
    <w:rPr>
      <w:rFonts w:ascii="Calibri Light" w:eastAsia="Times New Roman" w:hAnsi="Calibri Light" w:cs="Times New Roman"/>
      <w:b/>
      <w:bCs/>
      <w:sz w:val="26"/>
      <w:szCs w:val="26"/>
      <w:lang w:val="vi-VN"/>
    </w:rPr>
  </w:style>
  <w:style w:type="character" w:customStyle="1" w:styleId="Heading2Char">
    <w:name w:val="Heading 2 Char"/>
    <w:link w:val="Heading2"/>
    <w:uiPriority w:val="9"/>
    <w:semiHidden/>
    <w:rsid w:val="004211EF"/>
    <w:rPr>
      <w:rFonts w:ascii="Calibri Light" w:eastAsia="Times New Roman" w:hAnsi="Calibri Light" w:cs="Times New Roman"/>
      <w:b/>
      <w:bCs/>
      <w:i/>
      <w:iCs/>
      <w:sz w:val="28"/>
      <w:szCs w:val="28"/>
      <w:lang w:val="vi-VN"/>
    </w:rPr>
  </w:style>
  <w:style w:type="paragraph" w:styleId="ListParagraph">
    <w:name w:val="List Paragraph"/>
    <w:basedOn w:val="Normal"/>
    <w:uiPriority w:val="34"/>
    <w:qFormat/>
    <w:rsid w:val="00503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401">
      <w:bodyDiv w:val="1"/>
      <w:marLeft w:val="0"/>
      <w:marRight w:val="0"/>
      <w:marTop w:val="0"/>
      <w:marBottom w:val="0"/>
      <w:divBdr>
        <w:top w:val="none" w:sz="0" w:space="0" w:color="auto"/>
        <w:left w:val="none" w:sz="0" w:space="0" w:color="auto"/>
        <w:bottom w:val="none" w:sz="0" w:space="0" w:color="auto"/>
        <w:right w:val="none" w:sz="0" w:space="0" w:color="auto"/>
      </w:divBdr>
    </w:div>
    <w:div w:id="564072540">
      <w:bodyDiv w:val="1"/>
      <w:marLeft w:val="0"/>
      <w:marRight w:val="0"/>
      <w:marTop w:val="0"/>
      <w:marBottom w:val="0"/>
      <w:divBdr>
        <w:top w:val="none" w:sz="0" w:space="0" w:color="auto"/>
        <w:left w:val="none" w:sz="0" w:space="0" w:color="auto"/>
        <w:bottom w:val="none" w:sz="0" w:space="0" w:color="auto"/>
        <w:right w:val="none" w:sz="0" w:space="0" w:color="auto"/>
      </w:divBdr>
    </w:div>
    <w:div w:id="9066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SONGNGOC</dc:creator>
  <cp:keywords/>
  <dc:description/>
  <cp:lastModifiedBy>PC</cp:lastModifiedBy>
  <cp:revision>2</cp:revision>
  <cp:lastPrinted>2024-07-24T10:43:00Z</cp:lastPrinted>
  <dcterms:created xsi:type="dcterms:W3CDTF">2024-08-06T07:43:00Z</dcterms:created>
  <dcterms:modified xsi:type="dcterms:W3CDTF">2024-08-06T07:43:00Z</dcterms:modified>
</cp:coreProperties>
</file>