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Autospacing="0" w:before="120" w:afterAutospacing="1"/>
        <w:jc w:val="left"/>
        <w:rPr/>
      </w:pPr>
      <w:r>
        <w:rPr/>
      </w:r>
    </w:p>
    <w:p>
      <w:pPr>
        <w:pStyle w:val="Normal"/>
        <w:bidi w:val="0"/>
        <w:spacing w:beforeAutospacing="0" w:before="120" w:afterAutospacing="1"/>
        <w:jc w:val="center"/>
        <w:rPr/>
      </w:pPr>
      <w:bookmarkStart w:id="0" w:name="chuong_pl"/>
      <w:r>
        <w:rPr>
          <w:b/>
          <w:bCs/>
          <w:sz w:val="24"/>
        </w:rPr>
        <w:t>PHỤ LỤC III</w:t>
      </w:r>
      <w:bookmarkEnd w:id="0"/>
    </w:p>
    <w:p>
      <w:pPr>
        <w:pStyle w:val="Normal"/>
        <w:bidi w:val="0"/>
        <w:spacing w:beforeAutospacing="0" w:before="120" w:afterAutospacing="1"/>
        <w:jc w:val="center"/>
        <w:rPr/>
      </w:pPr>
      <w:bookmarkStart w:id="1" w:name="chuong_pl_name"/>
      <w:r>
        <w:rPr/>
        <w:t>MỨC PHÍ BẢO HIỂM, MỨC KHẤU TRỪ BẢO HIỂM BẮT BUỘC CÔNG TRÌNH TRONG THỜI GIAN XÂY DỰNG</w:t>
      </w:r>
      <w:bookmarkEnd w:id="1"/>
      <w:r>
        <w:rPr/>
        <w:br/>
      </w:r>
      <w:r>
        <w:rPr>
          <w:i/>
          <w:iCs/>
        </w:rPr>
        <w:t>(Kèm theo Nghị định số 220/2026/NĐ-CP ngày 22 tháng 6 năm 2026 của Chính phủ)</w:t>
      </w:r>
    </w:p>
    <w:p>
      <w:pPr>
        <w:pStyle w:val="Normal"/>
        <w:bidi w:val="0"/>
        <w:spacing w:beforeAutospacing="0" w:before="120" w:afterAutospacing="1"/>
        <w:jc w:val="left"/>
        <w:rPr/>
      </w:pPr>
      <w:bookmarkStart w:id="2" w:name="muc_1_pl"/>
      <w:r>
        <w:rPr>
          <w:b/>
          <w:bCs/>
        </w:rPr>
        <w:t>I. ĐỐI VỚI CÔNG TRÌNH XÂY DỰNG ĐƯỢC BẢO HIỂM KHÔNG BAO GỒM PHẦN CÔNG VIỆC LẮP ĐẶT THIẾT BỊ HOẶC CÓ BAO GỒM PHẦN CÔNG VIỆC LẮP ĐẶT THIẾT BỊ NHƯNG GIÁ TRỊ LẮP ĐẶT THIẾT BỊ THẤP HƠN 50% TỔNG GIÁ TRỊ HẠNG MỤC CÔNG TRÌNH XÂY DỰNG ĐƯỢC BẢO HIỂM</w:t>
      </w:r>
      <w:bookmarkEnd w:id="2"/>
    </w:p>
    <w:p>
      <w:pPr>
        <w:pStyle w:val="Normal"/>
        <w:bidi w:val="0"/>
        <w:spacing w:beforeAutospacing="0" w:before="120" w:afterAutospacing="1"/>
        <w:jc w:val="left"/>
        <w:rPr/>
      </w:pPr>
      <w:r>
        <w:rPr/>
        <w:t>1. Đối với công trình xây dựng có giá trị dưới 1.000 tỷ đồng</w:t>
      </w:r>
    </w:p>
    <w:p>
      <w:pPr>
        <w:pStyle w:val="Normal"/>
        <w:bidi w:val="0"/>
        <w:spacing w:beforeAutospacing="0" w:before="120" w:afterAutospacing="1"/>
        <w:jc w:val="left"/>
        <w:rPr/>
      </w:pPr>
      <w:r>
        <w:rPr/>
        <w:t xml:space="preserve">a) Mức phí bảo hiểm (Chưa bao gồm thuế GTGT): </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98" w:type="dxa"/>
          <w:bottom w:w="0" w:type="dxa"/>
          <w:right w:w="108" w:type="dxa"/>
        </w:tblCellMar>
      </w:tblPr>
      <w:tblGrid>
        <w:gridCol w:w="1232"/>
        <w:gridCol w:w="5490"/>
        <w:gridCol w:w="1555"/>
        <w:gridCol w:w="1082"/>
      </w:tblGrid>
      <w:tr>
        <w:trPr/>
        <w:tc>
          <w:tcPr>
            <w:tcW w:w="123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STT</w:t>
            </w:r>
          </w:p>
        </w:tc>
        <w:tc>
          <w:tcPr>
            <w:tcW w:w="549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Loại công trình xây dựng</w:t>
            </w:r>
          </w:p>
        </w:tc>
        <w:tc>
          <w:tcPr>
            <w:tcW w:w="155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Phí bảo hiểm (‰ theo giá trị công trình xây dựng)</w:t>
            </w:r>
          </w:p>
        </w:tc>
        <w:tc>
          <w:tcPr>
            <w:tcW w:w="108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Mức khấu trừ (loại)</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DÂN DỤNG</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Nhà ở</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tòa nhà chung cư, nhà ở tập thể khác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Không có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0,8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1.1.2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1 tới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1.1.3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trên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công cộng</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giáo dục, đào tạo, nghiên cứu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Không có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0,8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1.2.1.2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1 tới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1.2.1.3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trên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y tế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1.2.2.1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Không có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0,8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1.2.2.2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1 tới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1.2.2.3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trên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thể thao cấp II trở lên: Sân vận động; nhà thi đấu (các môn thể thao); bể bơi; sân thi đấu các môn thể thao có khán đài</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1.2.3.1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thể thao ngoài trời</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1.2.3.2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thể thao trong nhà</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1,4</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1.2.3.3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công trình thể thao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văn hóa cấp II trở lên: Trung tâm hội nghị, nhà hát, nhà văn hóa, câu lạc bộ, rạp chiếu phim, rạp xiếc, vũ trường; các công trình di tích; công trình tu bổ, bảo quản, phục hồi di tích; bảo tàng, thư viện, triển lãm; nhà trưng bày; tượng đài ngoài trời; công trình vui chơi, giải trí; công trình văn hóa tập trung đông người và các công trình khác có chức năng tương đương</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1.2.4.1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Không có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0,8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1.2.4.2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1 tới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1.2.4.3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trên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thương mại: Trung tâm thương mại, siêu thị cấp II trở lên; nhà hàng, cửa hàng ăn uống, giải khát và các cơ sở tương tự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1.2.5.1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Không có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1,1</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1.2.5.2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1 tới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1,4</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1.2.5.3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trên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dịch vụ cấp II trở lên: Khách sạn, nhà khách, nhà nghỉ; khu nghỉ dưỡng; biệt thự lưu trú; căn hộ lưu trú và các cơ sở tương tự; bưu điện, bưu cục, cơ sở cung cấp dịch vụ bưu chính, viễn thông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1.2.6.1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Không có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1,1</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1.2.6.2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1 tới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1,4</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1.2.6.3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trên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1.2.7</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trụ sở, văn phòng làm việc cấp II trở lên: Các tòa nhà sử dụng làm trụ sở, văn phòng làm việc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1.2.7.1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Không có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1,1</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1.2.7.2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1 tới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1,4</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1.2.7.3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trên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1.2.8</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công trình đa năng hoặc hỗn hợp cấp II trở lên: Các tòa nhà, kết cấu khác sử dụng đa năng hoặc hỗn hợp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1.2.8.1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Không có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1,1</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1.2.8.2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1 tới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1,4</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1.2.8.3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trên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1.2.9</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phục vụ dân sinh khác cấp II trở lên: Các tòa nhà hoặc kết cấu khác được xây dựng phục vụ dân sinh</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1.2.9.1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Không có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0,8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1.2.9.2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1 tới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1.2.9.3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Có trên 2 tầng 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CÔNG NGHIỆP</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sản xuất vật liệu, sản phẩm xây dựng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xi măng; sản xuất clinke công suất từ 100.000 tấn clinke/năm trở lên; cơ sở sản xuất gạch, ngói, tấm lợp fibro xi măng có công suất từ 100 triệu viên gạch, ngói quy chuẩn/năm trở lên hoặc 500.000 m</w:t>
            </w:r>
            <w:r>
              <w:rPr>
                <w:vertAlign w:val="superscript"/>
              </w:rPr>
              <w:t>2</w:t>
            </w:r>
            <w:r>
              <w:rPr/>
              <w:t xml:space="preserve"> tấm lợp fibro xi măng/năm trở lên; cơ sở sản xuất gạch ốp lát các loại có công suất từ 500.000 m</w:t>
            </w:r>
            <w:r>
              <w:rPr>
                <w:vertAlign w:val="superscript"/>
              </w:rPr>
              <w:t>2</w:t>
            </w:r>
            <w:r>
              <w:rPr/>
              <w:t>/năm trở lên; cơ sở sản xuất nguyên vật liệu xây dựng khác có công suất từ 50.000 tấn sản phẩm/năm trở lên; cơ sở sản xuất bê tông nhựa nóng, bê tông thương phẩm và các loại có công suất từ 100 tấn sản phẩm/ngày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loại mỏ khai thác vật liệu xây dựng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công trình sản xuất vật liệu xây dựng cấp II trở lên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luyện kim và cơ khí chế tạo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cán, kéo kim loại có công suất từ 2.000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luyện kim có sử dụng nguyên liệu là phế liệu hoặc có công suất từ 1.000 tấn sản phẩm/năm trở lên đối với dự án sử dụng nguyên liệu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sửa chữa, công-ten-nơ, rơ moóc có năng lực sản xuất từ 500 công-ten-nơ, rơ moóc/năm trở lên hoặc có năng lực sửa chữa từ 2.500 công-ten-nơ, rơ moóc/năm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đóng mới, sửa chữa, lắp ráp đầu máy, toa xe; cơ sở sản xuất, sửa chữa, lắp ráp xe máy, ô tô có công suất từ 5.000 xe máy/năm trở lên hoặc có công suất từ 500 ô tô/năm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đóng mới, sửa chữa tàu thủy cho tàu có trọng tải từ 1.000 DWT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chế tạo máy móc, thiết bị công cụ có công suất từ 1.000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2.2.7</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mạ, phun phủ và đánh bóng kim loại có công suất từ 500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2.2.8</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nhôm, thép định hình có công suất từ 2.000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2.2.9</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luyện kim và cơ khí chế tạo cấp II trở lên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khai thác mỏ và chế biến khoáng sản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khai thác khoáng sản rắn (không sử dụng hóa chất chất độc hại, vật liệu nổ công nghiệp) có khối lượng mỏ (khoáng sản, đất đá thải) từ 50.000 m</w:t>
            </w:r>
            <w:r>
              <w:rPr>
                <w:vertAlign w:val="superscript"/>
              </w:rPr>
              <w:t>3</w:t>
            </w:r>
            <w:r>
              <w:rPr/>
              <w:t xml:space="preserve"> nguyên khai/năm trở lên hoặc có tổng khối lượng mỏ (khoáng sản, đất đá thải) từ 1.000.000 m</w:t>
            </w:r>
            <w:r>
              <w:rPr>
                <w:vertAlign w:val="superscript"/>
              </w:rPr>
              <w:t>3</w:t>
            </w:r>
            <w:r>
              <w:rPr/>
              <w:t xml:space="preserve"> nguyên khối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khai thác cát, sỏi quy mô từ 50.000 m</w:t>
            </w:r>
            <w:r>
              <w:rPr>
                <w:vertAlign w:val="superscript"/>
              </w:rPr>
              <w:t>3</w:t>
            </w:r>
            <w:r>
              <w:rPr/>
              <w:t xml:space="preserve"> vật liệu nguyên khai/năm trở lên; công trình khai thác vật liệu san lấp mặt bằng quy mô từ 100.000 m</w:t>
            </w:r>
            <w:r>
              <w:rPr>
                <w:vertAlign w:val="superscript"/>
              </w:rPr>
              <w:t>3</w:t>
            </w:r>
            <w:r>
              <w:rPr/>
              <w:t xml:space="preserve"> vật liệu nguyên khai/năm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chế biến khoáng sản rắn không sử dụng hóa chất độc hại có công suất từ 50.000 m</w:t>
            </w:r>
            <w:r>
              <w:rPr>
                <w:vertAlign w:val="superscript"/>
              </w:rPr>
              <w:t>3</w:t>
            </w:r>
            <w:r>
              <w:rPr/>
              <w:t xml:space="preserve"> sản phẩm/năm trở lên hoặc có tổng lượng đất đá thải ra từ 500.000 m</w:t>
            </w:r>
            <w:r>
              <w:rPr>
                <w:vertAlign w:val="superscript"/>
              </w:rPr>
              <w:t>3</w:t>
            </w:r>
            <w:r>
              <w:rPr/>
              <w:t xml:space="preserve"> /năm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khai thác nước cấp cho hoạt động sản xuất, kinh doanh, dịch vụ và sinh hoạt có công suất khai thác từ 3.000 m</w:t>
            </w:r>
            <w:r>
              <w:rPr>
                <w:vertAlign w:val="superscript"/>
              </w:rPr>
              <w:t>3</w:t>
            </w:r>
            <w:r>
              <w:rPr/>
              <w:t xml:space="preserve"> nước/ngày đêm trở lên đối với nước dưới đất hoặc có công suất khai thác từ 50.000 m</w:t>
            </w:r>
            <w:r>
              <w:rPr>
                <w:vertAlign w:val="superscript"/>
              </w:rPr>
              <w:t>3</w:t>
            </w:r>
            <w:r>
              <w:rPr/>
              <w:t xml:space="preserve"> nước/ngày đêm trở lên đối với nước mặt</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khai thác nước khoáng thiên nhiên, nước nóng thiên nhiên (dưới đất hoặc lộ ra trên mặt đất) có công suất khai thác từ 200 m</w:t>
            </w:r>
            <w:r>
              <w:rPr>
                <w:vertAlign w:val="superscript"/>
              </w:rPr>
              <w:t>3</w:t>
            </w:r>
            <w:r>
              <w:rPr/>
              <w:t xml:space="preserve"> nước/ngày đêm trở lên đối với nước sử dụng để đóng chai hoặc có công suất khai thác từ 500 m</w:t>
            </w:r>
            <w:r>
              <w:rPr>
                <w:vertAlign w:val="superscript"/>
              </w:rPr>
              <w:t>3</w:t>
            </w:r>
            <w:r>
              <w:rPr/>
              <w:t xml:space="preserve"> nước/ngày đêm trở lên đối với nước sử dụng cho mục đích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công trình khai thác mỏ và chế biến khoáng sản cấp II trở lên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dầu khí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lọc dầu, chế biến khí cấp II trở lên; nhà máy lọc hóa dầu (trừ các dự án chiết nạp LPG, pha chế dầu nhờn), sản xuất sản phẩm hóa dầu, dung dịch khoan, hóa phẩm dầu khí có công suất từ 500 tấn sản phẩm/năm trở lên; tuyến đường ống dẫn dầu, khí có chiều dài từ 20 km trở lên; xây dựng tuyến đường ống dẫn dầu, khí; khu trung chuyển dầu, khí</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Kho xăng dầu, cửa hàng kinh doanh xăng dầu có dung tích chứa từ 200 m</w:t>
            </w:r>
            <w:r>
              <w:rPr>
                <w:vertAlign w:val="superscript"/>
              </w:rPr>
              <w:t>3</w:t>
            </w:r>
            <w:r>
              <w:rPr/>
              <w:t xml:space="preserve">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năng lượng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nhiệt điện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phong điện (trang trại gió) cấp II trở lên hoặc có diện tích từ 100 ha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quang điện (trang trại điện mặt trời) cấp II trở lên hoặc có diện tích từ 100 ha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thủy điện cấp II trở lên hoặc có dung tích hồ chứa từ 100.000 m</w:t>
            </w:r>
            <w:r>
              <w:rPr>
                <w:vertAlign w:val="superscript"/>
              </w:rPr>
              <w:t>3</w:t>
            </w:r>
            <w:r>
              <w:rPr/>
              <w:t xml:space="preserve"> nước trở lên hoặc công suất từ 10 MW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7,5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Tuyến đường dây tải điện 110 kV trở lên; trạm điện công suất 500 kV</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gia công các thiết bị điện tử, linh kiện điện, điện tử công suất từ 500.000 sản phẩm/năm trở lên; thiết bị điện có công suất từ 500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2.5.7</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công trình năng lượng khác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hóa chất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sản xuất phân bón, thuốc bảo vệ thực vật</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phân hóa học có công suất từ 1.000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2.6.1.2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Kho chứa thuốc bảo vệ thực vật từ 500 tấn trở lên, phân bón từ 5.000 tấn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2.6.1.3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thuốc bảo vệ thực vật</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2.6.1.4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sang chai, đóng gói thuốc bảo vệ thực vật có công suất từ 300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2.6.1.5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phân hữu cơ, phân vi sinh có công suất từ 10.000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hóa chất, dược phẩm, mỹ phẩm, nhựa, chất dẻo</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dược phẩm; cơ sở sản xuất thuốc thú y, nguyên liệu làm thuốc (bao gồm cả nguyên liệu hóa dược và tá dược) có công suất từ 50 tấn sản phẩm/năm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hóa mỹ phẩm có công suất từ 50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hóa chất, chất dẻo, các sản phẩm từ chất dẻo, sơn có công suất từ 100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các sản phẩm nhựa, hạt nhựa có công suất từ 1.000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chất tẩy rửa, phụ gia có công suất từ 1.000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thuốc phóng, thuốc nổ, hỏa cụ</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2.6.2.7</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thuốc nổ công nghiệp; kho chứa thuốc nổ cố định từ 5 tấn trở lên; kho chứa hóa chất từ 500 tấn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2.6.2.8</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Vùng sản xuất muối từ nước biển có diện tích từ 100 ha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công trình hóa chất cấp II trở lên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2.7</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công nghiệp nhẹ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sản xuất, chế biến thực phẩm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sơ chế, chế biến lương thực, thực phẩm có công suất từ 500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giết mổ gia súc, gia cầm tập trung có công suất từ 200 gia súc/ngày trở lên; 3.000 gia cầm/ngày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chế biến thủy sản, bột cá, các phụ phẩm thủy sản có công suất từ 100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đường có công suất từ 10.000 tấn đường/năm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cồn, rượu có công suất từ 500.000 lít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bia, nước giải khát có công suất từ 10.000.000 lít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2.7.1.7</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bột ngọt có công suất từ 5.000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2.7.1.8</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chế biến sữa có công suất từ 10.000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2.7.1.9</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chế biến dầu ăn có công suất từ 10.000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2.7.1.10</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bánh, kẹo có công suất từ 5.000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nước lọc, nước tinh khiết đóng chai có công suất từ 2.000 m</w:t>
            </w:r>
            <w:r>
              <w:rPr>
                <w:vertAlign w:val="superscript"/>
              </w:rPr>
              <w:t>3</w:t>
            </w:r>
            <w:r>
              <w:rPr/>
              <w:t xml:space="preserve"> nước/năm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chế biến nông sản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2.7.2.1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thuốc lá điếu, cơ sở chế biến nguyên liệu thuốc lá có công suất từ 100.000.000 điếu/năm trở lên hoặc có công suất từ 1.000 tấn nguyên liệu/năm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2.7.2.2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chế biến nông sản, tinh bột các loại có công suất từ 10.000 tấn sản phẩm/năm trở lên đối với công nghệ sản xuất, chế biến khô hoặc có công suất từ 1.000 tấn sản phẩm/năm trở lên đối với công nghệ sản xuất, chế biến ướt</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2.7.2.3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chế biến chè, hạt điều, ca cao, cà phê, hạt tiêu công suất từ 5.000 tấn sản phẩm/năm trở lên đối với công nghệ chế biến khô hoặc có công suất từ 1.000 tấn sản phẩm/năm trở lên đối với công nghệ chế biến ướt</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chế biến gỗ, sản xuất thủy tinh, gốm sứ</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chế biến gỗ, dăm gỗ từ gỗ tự nhiên có công suất từ 3.000 m</w:t>
            </w:r>
            <w:r>
              <w:rPr>
                <w:vertAlign w:val="superscript"/>
              </w:rPr>
              <w:t>3</w:t>
            </w:r>
            <w:r>
              <w:rPr/>
              <w:t xml:space="preserve">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ván ép có công suất từ 100.000 m</w:t>
            </w:r>
            <w:r>
              <w:rPr>
                <w:vertAlign w:val="superscript"/>
              </w:rPr>
              <w:t>2</w:t>
            </w:r>
            <w:r>
              <w:rPr/>
              <w:t xml:space="preserve"> /năm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đồ gỗ có tổng diện tích kho, bãi, nhà xưởng từ 10.000 m</w:t>
            </w:r>
            <w:r>
              <w:rPr>
                <w:vertAlign w:val="superscript"/>
              </w:rPr>
              <w:t>2</w:t>
            </w:r>
            <w:r>
              <w:rPr/>
              <w:t xml:space="preserve">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bóng đèn, phích nước có công suất từ 1.000.000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đồ gốm sứ, thủy tinh có công suất từ 1.000 tấn sản phẩm/năm hoặc 10.000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sản xuất giấy và văn phòng phẩm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bột giấy và giấy từ nguyên liệu thô có công suất từ 300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giấy, bao bì cát tông từ bột giấy hoặc phế liệu có công suất từ 5.000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văn phòng phẩm có công suất từ 1.000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về dệt nhuộm và may mặc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nhuộm, dệt có nhuộm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dệt không nhuộm có công suất từ 10.000.000 m</w:t>
            </w:r>
            <w:r>
              <w:rPr>
                <w:vertAlign w:val="superscript"/>
              </w:rPr>
              <w:t>2</w:t>
            </w:r>
            <w:r>
              <w:rPr/>
              <w:t xml:space="preserve"> vải/năm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và gia công các sản phẩm dệt, may có công suất từ 50.000 sản phẩm/năm trở lên nếu có công đoạn giặt tẩy hoặc có công suất từ 2.000.000 sản phẩm/năm trở lên nếu không có công đoạn giặt tẩy</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giặt là công nghiệp công suất từ 50.000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sợi tơ tằm, sợi bông, sợi nhân tạo có công suất từ 1.000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chăn nuôi và chế biến thức ăn chăn nuôi</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chế biến thức ăn chăn nuôi có công suất từ 1.000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nuôi trồng thủy sản có diện tích mặt nước từ 10 ha trở lên, riêng các dự án nuôi quảng canh từ 50 ha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chăn nuôi gia súc, gia cầm có quy mô chuồng trại từ 1.000 m</w:t>
            </w:r>
            <w:r>
              <w:rPr>
                <w:vertAlign w:val="superscript"/>
              </w:rPr>
              <w:t>2</w:t>
            </w:r>
            <w:r>
              <w:rPr/>
              <w:t xml:space="preserve"> trở lên: Cơ sở chăn nuôi, chăm sóc động vật hoang dã tập trung có quy mô chuồng trại từ 500 m</w:t>
            </w:r>
            <w:r>
              <w:rPr>
                <w:vertAlign w:val="superscript"/>
              </w:rPr>
              <w:t>2</w:t>
            </w:r>
            <w:r>
              <w:rPr/>
              <w:t xml:space="preserve">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công nghiệp nhẹ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chế biến cao su, mủ cao su có công suất từ 1.000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các sản phẩm trang thiết bị y tế từ nhựa và cao su y tế có công suất từ 100.000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giày dép có công suất từ 1.000.000 đôi/năm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săm lốp cao su các loại (riêng cơ sở sản xuất săm lốp cao su ô tô, máy kéo có công suất từ 50.000 sản phẩm/năm trở lên; cơ sở sản xuất săm lốp cao su xe đạp, xe máy có công suất từ 100.000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Dự án xây dựng cơ sở sản xuất mực in, vật liệu ngành in khác có công suất từ 500 tấn mực in và từ 1.000 sản phẩm/năm trở lên đối với các vật liệu ngành in khác</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ắc quy, pin có công suất từ 50.000 KWh/năm trở lên hoặc từ 100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2.7.7.7</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thuộc da</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2.7.7.8</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gas CO</w:t>
            </w:r>
            <w:r>
              <w:rPr>
                <w:vertAlign w:val="subscript"/>
              </w:rPr>
              <w:t>2</w:t>
            </w:r>
            <w:r>
              <w:rPr/>
              <w:t xml:space="preserve"> chiết nạp hóa lỏng, khí công nghiệp có công suất từ 3.000 tấn sản phẩm/năm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2.7.7.9</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phá dỡ tàu cũ, vệ sinh súc rửa tàu</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HẠ TẦNG KỸ THUẬT</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cấp nước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nước, công trình xử lý nước sạch</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Trạm bơm nước thô hoặc nước sạch hoặc tăng áp (gồm cả trạm bơm và bể chứa nếu trạm bơm đặt trên bể chứa)</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thoát nước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Hồ điều hòa</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Trạm bơm nước mưa (gồm cả trạm bơm và bể chứa nếu trạm bơm đặt trên bể chứa)</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xử lý nước thải</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Trạm bơm nước thải (gồm cả trạm bơm và bể chứa nếu trạm bơm đặt trên bể chứa)</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xử lý bùn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Xây dựng mới hoặc cải tạo hệ thống thoát nước đô thị, thoát nước khu dân cư có chiều dài công trình từ 10 km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xử lý chất thải rắn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3.3.1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xử lý chất thải rắn thông thường</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3.3.2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tái chế, xử lý chất thải rắn nguy hại có công suất từ 10 tấn/ngày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hạ tầng kỹ thuật viễn thông thụ động cấp II trở lên: Nhà, trạm viễn thông, cột ăng ten, cột treo cáp</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Nhà tang lễ; cơ sở hỏa táng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Nhà để xe (ngầm và nổi), cống, bể, hào, hầm tuy nen kỹ thuật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3.6.1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Bãi đỗ xe ngầm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3.6.2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Bãi đỗ xe nổi</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1,2</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3.6.3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Cống, bể, hào, hầm tuy nen kỹ thuật</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GIAO THÔNG</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Đường bộ</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Đường ô tô cao tốc mọi cấp</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Đường ô tô, đường trong đô thị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Bến phà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Bến xe; cơ sở đăng kiểm phương tiện giao thông đường bộ; trạm thu phí; trạm dừng nghỉ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Đường sắt</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Đường sắt mọi cấp: Đường sắt quốc gia; đường sắt địa phương (Đường sắt đô thị: Đường sắt trên cao); đường sắt chuyên dùng</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Đường sắt mọi cấp: Đường sắt địa phương (Đường sắt đô thị: Đường tàu điện ngầm/Metro)</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5,9</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Ga hành khách cấp II trở lên; Ga hàng hóa, ga kỹ thuật và ga hỗn hợp cấp II trở lên; khu tập kết bảo dưỡng, sửa chữa tàu (đề-pô)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Cầu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4.3.1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Cầu đường bộ</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6,0 (đối với mỗi cấp tăng thêm cộng 0,1‰ phí bảo hiểm)</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4.3.2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Cầu bộ hành</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 (đối với mỗi cấp tăng thêm cộng 0,1 ‰ phí bảo hiểm)</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4.3.3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Cầu đường sắt</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6,0 (đối với mỗi cấp tăng thêm cộng 0,1 ‰ phí bảo hiểm)</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4.3.4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Cầu phao</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6,0 (đối với mỗi cấp tăng thêm cộng 0,1 ‰ phí bảo hiểm)</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4.4</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Hầm</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4.4.1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Hầm cấp II trở lên: Hầm đường ô tô, hầm đường sắt, hầm cho người đi bộ</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11,0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4.4.2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Hầm tàu điện ngầm (Metro) mọi cấp</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11,0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đường thủy nội địa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Cảng, bến thủy nội địa (cho hành khách)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7,0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Đường thủy có bề rộng (B) và độ sâu (H) nước chạy tàu (bao gồm cả phao tiêu, công trình chính trị)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8,0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4.6</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hàng hải</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4.6.1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Bến/cảng biển, bến phà (cho hành khách)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10,0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4.6.2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hàng hải khác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10,0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4.7</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hàng không</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4.7.1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ga hàng không; khu bay (bao gồm cả các công trình bảo đảm hoạt động bay)</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4.8</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Tuyến cáp treo và nhà ga</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4.8.1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Để vận chuyển người mọi cấp</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4.8.2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Để vận chuyển hàng hóa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5</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NÔNG NGHIỆP VÀ MÔI TRƯỜNG</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5.1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thủy lợi</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5.1.1</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cấp nước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5.1.2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Hồ chứa nước cấp III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8,0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5.1.3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Đập ngăn nước và các công trình thủy lợi chịu áp khác cấp III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10,0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5.2</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đê điều mọi cấp</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10,0</w:t>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32"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5.3</w:t>
            </w:r>
          </w:p>
        </w:tc>
        <w:tc>
          <w:tcPr>
            <w:tcW w:w="549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nông nghiệp và môi trường khác cấp II trở lên</w:t>
            </w:r>
          </w:p>
        </w:tc>
        <w:tc>
          <w:tcPr>
            <w:tcW w:w="1555"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1"/>
              <w:jc w:val="left"/>
              <w:rPr/>
            </w:pPr>
            <w:r>
              <w:rPr/>
              <w:t xml:space="preserve">Mức phí bảo hiểm và mức khấu trừ thực hiện theo quy định tại </w:t>
            </w:r>
            <w:bookmarkStart w:id="3" w:name="tc_3"/>
            <w:r>
              <w:rPr/>
              <w:t>điểm d khoản 1 Điều 37 Nghị định số 67/2023/NĐ-CP</w:t>
            </w:r>
            <w:bookmarkEnd w:id="3"/>
          </w:p>
          <w:p>
            <w:pPr>
              <w:pStyle w:val="Normal"/>
              <w:bidi w:val="0"/>
              <w:spacing w:before="0" w:afterAutospacing="0" w:after="0"/>
              <w:jc w:val="left"/>
              <w:rPr/>
            </w:pPr>
            <w:r>
              <w:rPr/>
            </w:r>
          </w:p>
        </w:tc>
        <w:tc>
          <w:tcPr>
            <w:tcW w:w="1082"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bl>
    <w:p>
      <w:pPr>
        <w:pStyle w:val="Normal"/>
        <w:bidi w:val="0"/>
        <w:spacing w:beforeAutospacing="0" w:before="120" w:afterAutospacing="1"/>
        <w:jc w:val="left"/>
        <w:rPr/>
      </w:pPr>
      <w:r>
        <w:rPr>
          <w:b/>
          <w:bCs/>
          <w:i/>
          <w:iCs/>
        </w:rPr>
        <w:t>Ghi chú:</w:t>
      </w:r>
    </w:p>
    <w:p>
      <w:pPr>
        <w:pStyle w:val="Normal"/>
        <w:bidi w:val="0"/>
        <w:spacing w:beforeAutospacing="0" w:before="120" w:afterAutospacing="1"/>
        <w:jc w:val="left"/>
        <w:rPr/>
      </w:pPr>
      <w:r>
        <w:rPr/>
        <w:t>M, N là các ký hiệu về loại mức khấu trừ bảo hiểm quy định tại điểm b khoản 1 Mục I Phụ lục này.</w:t>
      </w:r>
    </w:p>
    <w:p>
      <w:pPr>
        <w:pStyle w:val="Normal"/>
        <w:bidi w:val="0"/>
        <w:spacing w:beforeAutospacing="0" w:before="120" w:afterAutospacing="1"/>
        <w:jc w:val="left"/>
        <w:rPr/>
      </w:pPr>
      <w:r>
        <w:rPr/>
        <w:t>b) Mức khấu trừ bảo hiểm:</w:t>
      </w:r>
    </w:p>
    <w:p>
      <w:pPr>
        <w:pStyle w:val="Normal"/>
        <w:bidi w:val="0"/>
        <w:spacing w:beforeAutospacing="0" w:before="120" w:afterAutospacing="1"/>
        <w:jc w:val="left"/>
        <w:rPr/>
      </w:pPr>
      <w:r>
        <w:rPr/>
        <w:t>Mức khấu trừ bảo hiểm công trình trong thời gian xây dựng áp dụng theo bảng sau hoặc bằng 5% giá trị tổn thất, tùy theo số nào lớn hơn:</w:t>
      </w:r>
    </w:p>
    <w:p>
      <w:pPr>
        <w:pStyle w:val="Normal"/>
        <w:bidi w:val="0"/>
        <w:spacing w:beforeAutospacing="0" w:before="120" w:afterAutospacing="1"/>
        <w:jc w:val="right"/>
        <w:rPr/>
      </w:pPr>
      <w:r>
        <w:rPr/>
        <w:t>Đơn vị: triệu đồng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98" w:type="dxa"/>
          <w:bottom w:w="0" w:type="dxa"/>
          <w:right w:w="108" w:type="dxa"/>
        </w:tblCellMar>
      </w:tblPr>
      <w:tblGrid>
        <w:gridCol w:w="1455"/>
        <w:gridCol w:w="417"/>
        <w:gridCol w:w="1872"/>
        <w:gridCol w:w="1612"/>
        <w:gridCol w:w="260"/>
        <w:gridCol w:w="1872"/>
        <w:gridCol w:w="1872"/>
      </w:tblGrid>
      <w:tr>
        <w:trPr/>
        <w:tc>
          <w:tcPr>
            <w:tcW w:w="1455"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Giá trị bảo hiểm</w:t>
            </w:r>
          </w:p>
        </w:tc>
        <w:tc>
          <w:tcPr>
            <w:tcW w:w="3901" w:type="dxa"/>
            <w:gridSpan w:val="3"/>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Mức khấu trừ loại “M”</w:t>
            </w:r>
          </w:p>
        </w:tc>
        <w:tc>
          <w:tcPr>
            <w:tcW w:w="4004" w:type="dxa"/>
            <w:gridSpan w:val="3"/>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Mức khấu trừ loại “N”</w:t>
            </w:r>
          </w:p>
        </w:tc>
      </w:tr>
      <w:tr>
        <w:trPr/>
        <w:tc>
          <w:tcPr>
            <w:tcW w:w="1872" w:type="dxa"/>
            <w:gridSpan w:val="2"/>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0" w:type="dxa"/>
              <w:right w:w="0" w:type="dxa"/>
            </w:tcMar>
            <w:vAlign w:val="center"/>
          </w:tcPr>
          <w:p>
            <w:pPr>
              <w:pStyle w:val="Normal"/>
              <w:bidi w:val="0"/>
              <w:spacing w:beforeAutospacing="0" w:before="120" w:afterAutospacing="0" w:after="0"/>
              <w:jc w:val="center"/>
              <w:rPr/>
            </w:pPr>
            <w:r>
              <w:rPr/>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Đối với rủi ro thiên tai</w:t>
            </w:r>
          </w:p>
        </w:tc>
        <w:tc>
          <w:tcPr>
            <w:tcW w:w="1872"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Đối với rủi ro khác</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Đối với rủi ro thiên tai</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Đối với rủi ro khác</w:t>
            </w:r>
          </w:p>
        </w:tc>
      </w:tr>
      <w:tr>
        <w:trPr/>
        <w:tc>
          <w:tcPr>
            <w:tcW w:w="1872" w:type="dxa"/>
            <w:gridSpan w:val="2"/>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Giá trị dưới 10.000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100</w:t>
            </w:r>
          </w:p>
        </w:tc>
        <w:tc>
          <w:tcPr>
            <w:tcW w:w="1872"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20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150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40</w:t>
            </w:r>
          </w:p>
        </w:tc>
      </w:tr>
      <w:tr>
        <w:trPr/>
        <w:tc>
          <w:tcPr>
            <w:tcW w:w="1872" w:type="dxa"/>
            <w:gridSpan w:val="2"/>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Từ 10.000 đến dưới 20.000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150</w:t>
            </w:r>
          </w:p>
        </w:tc>
        <w:tc>
          <w:tcPr>
            <w:tcW w:w="1872"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30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200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40</w:t>
            </w:r>
          </w:p>
        </w:tc>
      </w:tr>
      <w:tr>
        <w:trPr/>
        <w:tc>
          <w:tcPr>
            <w:tcW w:w="1872" w:type="dxa"/>
            <w:gridSpan w:val="2"/>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Từ 20.000 đến dưới 100.000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200</w:t>
            </w:r>
          </w:p>
        </w:tc>
        <w:tc>
          <w:tcPr>
            <w:tcW w:w="1872"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60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300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80</w:t>
            </w:r>
          </w:p>
        </w:tc>
      </w:tr>
      <w:tr>
        <w:trPr/>
        <w:tc>
          <w:tcPr>
            <w:tcW w:w="1872" w:type="dxa"/>
            <w:gridSpan w:val="2"/>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Từ 100.000 đến dưới 600.000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300</w:t>
            </w:r>
          </w:p>
        </w:tc>
        <w:tc>
          <w:tcPr>
            <w:tcW w:w="1872"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80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500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150</w:t>
            </w:r>
          </w:p>
        </w:tc>
      </w:tr>
      <w:tr>
        <w:trPr/>
        <w:tc>
          <w:tcPr>
            <w:tcW w:w="1872" w:type="dxa"/>
            <w:gridSpan w:val="2"/>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Từ 600.000 đến dưới 700.000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500</w:t>
            </w:r>
          </w:p>
        </w:tc>
        <w:tc>
          <w:tcPr>
            <w:tcW w:w="1872"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100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700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200</w:t>
            </w:r>
          </w:p>
        </w:tc>
      </w:tr>
      <w:tr>
        <w:trPr/>
        <w:tc>
          <w:tcPr>
            <w:tcW w:w="1872" w:type="dxa"/>
            <w:gridSpan w:val="2"/>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Từ 700.000 đến dưới 1.000.000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700</w:t>
            </w:r>
          </w:p>
        </w:tc>
        <w:tc>
          <w:tcPr>
            <w:tcW w:w="1872"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200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1.000</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400</w:t>
            </w:r>
          </w:p>
        </w:tc>
      </w:tr>
      <w:tr>
        <w:trPr/>
        <w:tc>
          <w:tcPr>
            <w:tcW w:w="1872" w:type="dxa"/>
            <w:gridSpan w:val="2"/>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Từ 1.000.000 trở lên</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Tối thiểu 700 triệu đồng hoặc 5% giá trị tổn thất, tùy số nào lớn hơn</w:t>
            </w:r>
          </w:p>
        </w:tc>
        <w:tc>
          <w:tcPr>
            <w:tcW w:w="1872"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Tối thiểu 200 triệu đồng hoặc 5% giá trị tổn thất, tùy số nào lớn hơn</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Tối thiểu 1.000 triệu đồng hoặc 5% giá trị tổn thất, tùy số nào lớn hơn</w:t>
            </w:r>
          </w:p>
        </w:tc>
        <w:tc>
          <w:tcPr>
            <w:tcW w:w="18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Tối thiểu 400 triệu đồng hoặc 5% giá trị tổn thất, tùy số nào lớn hơn</w:t>
            </w:r>
          </w:p>
        </w:tc>
      </w:tr>
    </w:tbl>
    <w:p>
      <w:pPr>
        <w:pStyle w:val="Normal"/>
        <w:bidi w:val="0"/>
        <w:spacing w:beforeAutospacing="0" w:before="120" w:afterAutospacing="1"/>
        <w:jc w:val="left"/>
        <w:rPr/>
      </w:pPr>
      <w:r>
        <w:rPr/>
        <w:t>Ví dụ: Cách áp dụng mức khấu trừ đối với bảo hiểm bắt buộc công trình trong thời gian xây dựng:</w:t>
      </w:r>
    </w:p>
    <w:p>
      <w:pPr>
        <w:pStyle w:val="Normal"/>
        <w:bidi w:val="0"/>
        <w:spacing w:beforeAutospacing="0" w:before="120" w:afterAutospacing="1"/>
        <w:jc w:val="left"/>
        <w:rPr/>
      </w:pPr>
      <w:r>
        <w:rPr/>
        <w:t>Mức khấu trừ loại M đối với các công trình có giá trị 15.000 triệu đồng đối với rủi ro thiên tai là 150 triệu đồng, đối với rủi ro khác là 30 triệu đồng.</w:t>
      </w:r>
    </w:p>
    <w:p>
      <w:pPr>
        <w:pStyle w:val="Normal"/>
        <w:bidi w:val="0"/>
        <w:spacing w:beforeAutospacing="0" w:before="120" w:afterAutospacing="1"/>
        <w:jc w:val="left"/>
        <w:rPr/>
      </w:pPr>
      <w:r>
        <w:rPr/>
        <w:t>Mức khấu trừ loại N đối với các công trình có giá trị 15.000 triệu đồng đối với rủi ro thiên tai là 200 triệu đồng, đối với rủi ro khác là 40 triệu đồng.</w:t>
      </w:r>
    </w:p>
    <w:p>
      <w:pPr>
        <w:pStyle w:val="Normal"/>
        <w:bidi w:val="0"/>
        <w:spacing w:beforeAutospacing="0" w:before="120" w:afterAutospacing="1"/>
        <w:jc w:val="left"/>
        <w:rPr/>
      </w:pPr>
      <w:r>
        <w:rPr/>
        <w:t xml:space="preserve">2. Đối với công trình xây dựng có giá trị từ 1.000 tỷ đồng trở lên quy định tại khoản 1 Mục I Phụ lục này: Thực hiện theo quy định tại </w:t>
      </w:r>
      <w:bookmarkStart w:id="4" w:name="dc_27"/>
      <w:r>
        <w:rPr/>
        <w:t>điểm c khoản 1 Điều 37 Nghị định</w:t>
      </w:r>
      <w:bookmarkEnd w:id="4"/>
      <w:r>
        <w:rPr/>
        <w:t xml:space="preserve"> này. Trong mọi trường hợp, mức khấu trừ không thấp hơn mức khấu trừ bảo hiểm quy định tại điểm b khoản 1 Mục I Phụ lục này.</w:t>
      </w:r>
    </w:p>
    <w:p>
      <w:pPr>
        <w:pStyle w:val="Normal"/>
        <w:bidi w:val="0"/>
        <w:spacing w:beforeAutospacing="0" w:before="120" w:afterAutospacing="1"/>
        <w:jc w:val="left"/>
        <w:rPr/>
      </w:pPr>
      <w:r>
        <w:rPr/>
        <w:t xml:space="preserve">3. Đối với công trình xây dựng chưa được quy định tại khoản 1, khoản 2 Mục I Phụ lục này: Thực hiện theo quy định tại </w:t>
      </w:r>
      <w:bookmarkStart w:id="5" w:name="tc_4"/>
      <w:r>
        <w:rPr/>
        <w:t>điểm d khoản 1 Điều 37 Nghị định này</w:t>
      </w:r>
      <w:bookmarkEnd w:id="5"/>
      <w:r>
        <w:rPr/>
        <w:t>. Trong mọi trường hợp, mức khấu trừ không thấp hơn mức khấu trừ bảo hiểm quy định tại điểm b khoản 1 Mục I Phụ lục này.</w:t>
      </w:r>
    </w:p>
    <w:p>
      <w:pPr>
        <w:pStyle w:val="Normal"/>
        <w:bidi w:val="0"/>
        <w:spacing w:beforeAutospacing="0" w:before="120" w:afterAutospacing="1"/>
        <w:jc w:val="left"/>
        <w:rPr/>
      </w:pPr>
      <w:bookmarkStart w:id="6" w:name="muc_2_pl"/>
      <w:r>
        <w:rPr>
          <w:b/>
          <w:bCs/>
        </w:rPr>
        <w:t>II. ĐỐI VỚI CÔNG TRÌNH XÂY DỰNG ĐƯỢC BẢO HIỂM CÓ BAO GỒM CÔNG VIỆC LẮP ĐẶT THIẾT BỊ VÀ GIÁ TRỊ LẮP ĐẶT THIẾT BỊ CHIẾM TỪ 50% TRỞ LÊN TỔNG GIÁ TRỊ HẠNG MỤC CÔNG TRÌNH XÂY DỰNG ĐƯỢC BẢO HIỂM</w:t>
      </w:r>
      <w:bookmarkEnd w:id="6"/>
    </w:p>
    <w:p>
      <w:pPr>
        <w:pStyle w:val="Normal"/>
        <w:bidi w:val="0"/>
        <w:spacing w:beforeAutospacing="0" w:before="120" w:afterAutospacing="1"/>
        <w:jc w:val="left"/>
        <w:rPr/>
      </w:pPr>
      <w:r>
        <w:rPr/>
        <w:t>1. Đối với công trình xây dựng có giá trị dưới 1.000 tỷ đồng</w:t>
      </w:r>
    </w:p>
    <w:p>
      <w:pPr>
        <w:pStyle w:val="Normal"/>
        <w:bidi w:val="0"/>
        <w:spacing w:beforeAutospacing="0" w:before="120" w:afterAutospacing="1"/>
        <w:jc w:val="left"/>
        <w:rPr/>
      </w:pPr>
      <w:r>
        <w:rPr/>
        <w:t>a) Mức phí bảo hiểm (Chưa bao gồm thuế GTGT):</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98" w:type="dxa"/>
          <w:bottom w:w="0" w:type="dxa"/>
          <w:right w:w="108" w:type="dxa"/>
        </w:tblCellMar>
      </w:tblPr>
      <w:tblGrid>
        <w:gridCol w:w="1225"/>
        <w:gridCol w:w="1114"/>
        <w:gridCol w:w="2340"/>
        <w:gridCol w:w="1793"/>
        <w:gridCol w:w="1818"/>
        <w:gridCol w:w="1069"/>
      </w:tblGrid>
      <w:tr>
        <w:trPr/>
        <w:tc>
          <w:tcPr>
            <w:tcW w:w="122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Mã hiệu</w:t>
            </w:r>
          </w:p>
        </w:tc>
        <w:tc>
          <w:tcPr>
            <w:tcW w:w="5247" w:type="dxa"/>
            <w:gridSpan w:val="3"/>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Hạng mục công trình, loại thiết bị lắp đặt vào công trình</w:t>
            </w:r>
          </w:p>
        </w:tc>
        <w:tc>
          <w:tcPr>
            <w:tcW w:w="18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Phí bảo hiểm (‰ theo giá trị hạng mục công trình, loại thiết bị lắp đặt vào công trình)</w:t>
            </w:r>
          </w:p>
        </w:tc>
        <w:tc>
          <w:tcPr>
            <w:tcW w:w="106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Mức khấu trừ (loại)</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DÂN DỤNG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1"/>
              <w:jc w:val="left"/>
              <w:rPr/>
            </w:pPr>
            <w:r>
              <w:rPr/>
              <w:t>- Nhà ở: Các tòa nhà chung cư, nhà ở tập thể khác cấp II trở lên;</w:t>
            </w:r>
          </w:p>
          <w:p>
            <w:pPr>
              <w:pStyle w:val="Normal"/>
              <w:bidi w:val="0"/>
              <w:spacing w:beforeAutospacing="0" w:before="120" w:afterAutospacing="1"/>
              <w:jc w:val="left"/>
              <w:rPr/>
            </w:pPr>
            <w:r>
              <w:rPr/>
              <w:t>- Công trình công cộng:</w:t>
            </w:r>
          </w:p>
          <w:p>
            <w:pPr>
              <w:pStyle w:val="Normal"/>
              <w:bidi w:val="0"/>
              <w:spacing w:beforeAutospacing="0" w:before="120" w:afterAutospacing="1"/>
              <w:jc w:val="left"/>
              <w:rPr/>
            </w:pPr>
            <w:r>
              <w:rPr/>
              <w:t>+ Công trình giáo dục, đào tạo, nghiên cứu cấp II trở lên;</w:t>
            </w:r>
          </w:p>
          <w:p>
            <w:pPr>
              <w:pStyle w:val="Normal"/>
              <w:bidi w:val="0"/>
              <w:spacing w:beforeAutospacing="0" w:before="120" w:afterAutospacing="1"/>
              <w:jc w:val="left"/>
              <w:rPr/>
            </w:pPr>
            <w:r>
              <w:rPr/>
              <w:t>+ Công trình y tế cấp II trở lên;</w:t>
            </w:r>
          </w:p>
          <w:p>
            <w:pPr>
              <w:pStyle w:val="Normal"/>
              <w:bidi w:val="0"/>
              <w:spacing w:beforeAutospacing="0" w:before="120" w:afterAutospacing="1"/>
              <w:jc w:val="left"/>
              <w:rPr/>
            </w:pPr>
            <w:r>
              <w:rPr/>
              <w:t>+ Công trình thể thao: Sân vận động; nhà thi đấu (các môn thể thao); bể bơi; sân thi đấu các môn thể thao có khán đài cấp II trở lên;</w:t>
            </w:r>
          </w:p>
          <w:p>
            <w:pPr>
              <w:pStyle w:val="Normal"/>
              <w:bidi w:val="0"/>
              <w:spacing w:beforeAutospacing="0" w:before="120" w:afterAutospacing="1"/>
              <w:jc w:val="left"/>
              <w:rPr/>
            </w:pPr>
            <w:r>
              <w:rPr/>
              <w:t>+ Công trình văn hóa: Trung tâm hội nghị, nhà hát, nhà văn hóa, câu lạc bộ, rạp chiếu phim, rạp xiếc, vũ trường; các công trình di tích; công trình tu bổ, bảo quản, phục hồi di tích; bảo tàng, thư viện, triển lãm, nhà trưng bày; tượng đài ngoài trời; công trình vui chơi giải trí; công trình văn hóa tập trung đông người và các công trình khác có chức năng tương đương cấp II trở lên;</w:t>
            </w:r>
          </w:p>
          <w:p>
            <w:pPr>
              <w:pStyle w:val="Normal"/>
              <w:bidi w:val="0"/>
              <w:spacing w:beforeAutospacing="0" w:before="120" w:afterAutospacing="1"/>
              <w:jc w:val="left"/>
              <w:rPr/>
            </w:pPr>
            <w:r>
              <w:rPr/>
              <w:t>+ Công trình thương mại: Trung tâm thương mại, siêu thị cấp II trở lên; nhà hàng, cửa hàng ăn uống, giải khát và các cơ sở tương tự cấp II trở lên;</w:t>
            </w:r>
          </w:p>
          <w:p>
            <w:pPr>
              <w:pStyle w:val="Normal"/>
              <w:bidi w:val="0"/>
              <w:spacing w:beforeAutospacing="0" w:before="120" w:afterAutospacing="1"/>
              <w:jc w:val="left"/>
              <w:rPr/>
            </w:pPr>
            <w:r>
              <w:rPr/>
              <w:t>+ Công trình dịch vụ: Khách sạn, nhà khách, nhà nghỉ; khu nghỉ dưỡng; biệt thự lưu trú; căn hộ lưu trú và các cơ sở tương tự; bưu điện, bưu cục, cơ sở cung cấp dịch vụ bưu chính, viễn thông khác cấp II trở lên;</w:t>
            </w:r>
          </w:p>
          <w:p>
            <w:pPr>
              <w:pStyle w:val="Normal"/>
              <w:bidi w:val="0"/>
              <w:spacing w:beforeAutospacing="0" w:before="120" w:afterAutospacing="1"/>
              <w:jc w:val="left"/>
              <w:rPr/>
            </w:pPr>
            <w:r>
              <w:rPr/>
              <w:t>+ Công trình trụ sở, văn phòng làm việc: Các tòa nhà sử dụng làm trụ sở, văn phòng làm việc cấp II trở lên;</w:t>
            </w:r>
          </w:p>
          <w:p>
            <w:pPr>
              <w:pStyle w:val="Normal"/>
              <w:bidi w:val="0"/>
              <w:spacing w:beforeAutospacing="0" w:before="120" w:afterAutospacing="1"/>
              <w:jc w:val="left"/>
              <w:rPr/>
            </w:pPr>
            <w:r>
              <w:rPr/>
              <w:t>+ Các công trình đa năng hoặc hỗn hợp: Các tòa nhà, kết cấu khác sử dụng đa năng hoặc hỗn hợp khác cấp II trở lên;</w:t>
            </w:r>
          </w:p>
          <w:p>
            <w:pPr>
              <w:pStyle w:val="Normal"/>
              <w:bidi w:val="0"/>
              <w:spacing w:beforeAutospacing="0" w:before="120" w:afterAutospacing="0" w:after="0"/>
              <w:jc w:val="left"/>
              <w:rPr/>
            </w:pPr>
            <w:r>
              <w:rPr/>
              <w:t>+ Công trình phục vụ dân sinh khác: Các tòa nhà hoặc kết cấu khác được xây dựng phục vụ dân sinh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Lắp đặt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Thiết bị sưởi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Thiết bị điều hòa không khí</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Thang máy nâng và thang máy cuốn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Thiết bị bếp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Thiết bị y tế</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Thiết bị khử trùng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1.8</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Thiết bị làm lạnh</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1.9</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Thiết bị ánh sáng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1.10</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Rạp chiếu phim, phòng quay truyền hình, quay phim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1.11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Cáp treo</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CÔNG NGHIỆP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sản xuất vật liệu, sản phẩm xây dựng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Ngành vật liệu xây dựng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xi-măng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bê tông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gạch</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clinke</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ngói, tấm lợp fibro xi-măng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gạch ốp lát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luyện kim và cơ khí chế tạo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Sắt và thép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luyện kim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luyện gang (sản xuất gang thỏi)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phôi thép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2.2.1.4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cán thép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2.2.1.5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cán thép - cán nóng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2.2.1.6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cán thép - cán nguội (Thép tấm cỡ mỏng)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2.2.1.7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Xưởng đúc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kim loại không chứa sắt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2.2.2.1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luyện kim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2.2.2.2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luyện nhôm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2.2.2.3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cán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2.2.2.4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cán nóng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2.2.2.5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cán nguội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2.2.2.6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Xưởng đúc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nghiệp sản xuất kim loại khác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khai thác mỏ và chế biến khoáng sản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khai thác mỏ lộ thiên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khai thác than lộ thiên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khai thác quặng lộ thiên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nạo vét hạng nặng trong khai thác mỏ lộ thiên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chế biến quặng kim loại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khác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dầu khí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lọc dầu, chế biến khí; nhà máy lọc hóa dầu (trừ các dự án chiết nạp LPG, pha chế dầu nhờn), sản xuất sản phẩm hóa dầu, dung dịch khoan, hóa phẩm dầu khí; tuyến đường ống dẫn dầu, khí; khu trung chuyển dầu, khí</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Kho xăng dầu, cửa hàng kinh doanh xăng dầu</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năng lượng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nhiệt điện - than đá, dầu, than non (nhiệt độ hơi tới 540°C)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10 MW một máy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50 MW một máy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150 MW một máy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300 MW một máy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Turbin hơi nước (nhiệt độ hơi tới 540°C)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2.5.2.1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50 MW</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2.5.2.2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150 MW</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2.5.2.3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300 MW</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Máy phát trong nhà máy nhiệt điện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2.5.3.1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180 MVA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2.5.3.2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400 MVA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Nồi hơi bao gồm cả phụ kiện thông thường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Nồi hơi dạng ống (nhiệt độ hơi tới 540°C)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2.5.5.1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50 tấn/giờ</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2.5.5.2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200 tấn/giờ</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2.5.5.3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1.000 tấn/giờ</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loại nồi hơi khác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2.5.6.1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75 tấn/giờ</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2.5.6.2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150 tấn/giờ</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Nồi hơi cấp nhiệt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2.5.8</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Ống dẫn hơi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2.5.9</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điện Diezen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2.5.9.1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5.000 KW/máy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2.5.9.2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10.000 KW/máy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2.5.10</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Máy phát trong nhà máy điện Diezen tới 12 MVA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Động cơ Diezen trong nhà máy điện Diezen tới 5.000 KW</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Lắp đặt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Tháo dỡ</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Trạm phân phối điện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2.5.12.1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100KV</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2.5.12.2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Trên 100 KV</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Máy biến thế</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2.5.13.1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10 MVA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2.5.13.2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50 MVA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2.5.13.3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100 MVA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2.5.13.4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250 MVA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2.5.13.5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400 MVA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điện dùng tua-bin khí công nghiệp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2.5.14.1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40 MW/máy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2.5.14.2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Tới 60 MW/máy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Cải tạo và xây dựng mới lưới điện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Sản xuất, gia công các thiết bị điện tử, linh kiện điện, điện tử; thiết bị điện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2.5.17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phong điện, thủy điện, quang điện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hóa chất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sản xuất phân bón, thuốc bảo vệ thực vật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phân bón - loại thông thường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thuốc bảo vệ thực vật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hóa chất, dược phẩm, mỹ phẩm, nhựa, chất dẻo</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chế biến vật dụng bằng chất dẻo</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hóa mỹ phẩm, dược phẩm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sơn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thuốc thú 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sản phẩm nhựa, hạt nhựa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chất tẩy rửa, phụ gia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thuốc phóng, thuốc nổ, hỏa cụ</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2.6.2.8</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thuốc nổ công nghiệp; kho chứa thuốc nổ, kho chứa hóa chất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2.6.2.9</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muối từ nước biển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nghiệp hóa chất khác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công nghiệp nhẹ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sản xuất, chế biến thực phẩm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lương thực, thực phẩm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giết mổ gia súc, gia cầm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chế biến thủy sản, bột cá, các phụ phẩm thủy sản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đường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cồn, rượu</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bia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nước giải khát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2.7.1.8</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bột ngọt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2.7.1.9</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chế biến sữa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2.7.1.10</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sản xuất dầu ăn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bánh, kẹo</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nước lọc, nước tinh khiết đóng chai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2.7.1.13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nghiệp thực phẩm và chế biến thức ăn gia súc khác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chế biến nông sản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2.7.2.1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thuốc lá điếu, chế biến nguyên liệu thuốc lá</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2.7.2.2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chế biến nông sản, tinh bột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2.7.2.3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chế biến chè, hạt điều, ca cao, cà phê, hạt tiêu</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chế biến gỗ, sản xuất thủy tinh, gốm sứ</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nghiệp chế biến gỗ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gỗ dán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ván ép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đồ dùng gia đình</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cưa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bóng đèn, phích nước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gốm, sứ</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2.7.3.8</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thủy tinh</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sản xuất giấy và văn phòng phẩm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nghiệp giấy và bao bì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bột giấy và giấy từ nguyên liệu thô</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chế biến bột giấy và giấy từ nguyên liệu thô</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giấy và bao bì</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gia công giấy và bao bì</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2.7.4.6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văn phòng phẩm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về dệt nhuộm và may mặc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nghiệp dệt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sợi tơ tằm, sợi bông, sợi nhân tạo</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dệt không nhuộm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giặt là công nghiệp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2,1</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nhuộm, tẩy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sấy khô</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dệt có nhuộm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2.7.5.8</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và gia công các sản phẩm dệt, may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chăn nuôi và chế biến thức ăn chăn nuôi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nghiệp chế biến thức ăn chăn nuôi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chế biến thức ăn chăn nuôi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chăn nuôi gia súc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chăn nuôi gia cầm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chăn nuôi, chăm sóc động vật hoang dã</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nuôi trồng thủy sản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2.7.6.7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nuôi quảng canh</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công nghiệp nhẹ khác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chế biến cao su, mủ cao su, nhà máy sản xuất săm lốp cao su</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các sản phẩm trang thiết bị y tế từ nhựa và cao su y tế</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giầy dép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sản xuất mực in, vật liệu ngành in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ắc quy, pin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thuộc da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2.7.7.7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sản xuất gas CO</w:t>
            </w:r>
            <w:r>
              <w:rPr>
                <w:vertAlign w:val="subscript"/>
              </w:rPr>
              <w:t>2</w:t>
            </w:r>
            <w:r>
              <w:rPr/>
              <w:t xml:space="preserve"> chiết nạp hóa lỏng, khí công nghiệp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2.7.8</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phá dỡ tàu cũ, vệ sinh súc rửa tàu</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2,6</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HẠ TẦNG KỸ THUẬT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cấp nước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Xử lý cấp nước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Nhà máy nước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xử lý nước sạch</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Hệ thống phân phối nước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3.1.5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Trạm bơm nước thô hoặc nước sạch hoặc tăng áp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thoát nước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Hồ điều hòa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Trạm bơm nước mưa</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xử lý nước thải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Trạm bơm nước thải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xử lý bùn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Xử lý thoát nước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Hệ thống thoát nước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3.2.8</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Hệ thống chứa nước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3.2.9</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Cải tạo hệ thống thoát nước đô thị, thoát nước khu dân cư</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xử lý chất thải rắn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3.3.1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xử lý chất thải rắn thông thường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3.3.2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Cơ sở tái chế, xử lý chất thải nguy hại; cơ sở tái chế, xử lý chất thải rắn nguy hại có công suất từ 10 tấn/ngày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hạ tầng kỹ thuật viễn thông thụ động cấp II trở lên: Nhà, trạm viễn thông, cột ăng ten, cột treo cáp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Hệ thống thông tin nói chung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Tổng đài điện thoại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Cáp thông tin (bao gồm công việc đào đất)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Cáp thông tin (loại trừ công việc đào đất)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Thiết bị Radio và TV</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1,9</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3.4.6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Tháp thu, phát sóng viễn thông, truyền thanh, truyền hình, cột BTS</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Nhà tang lễ; Cơ sở hỏa táng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3.6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Nhà để xe (ngầm và nổi), cống, bể, hào, hầm tuy nen kỹ thuật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3.6.1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Bãi đỗ xe ngầm</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3.6.2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Bãi đỗ xe nổi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3.6.3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Cống, bể, hào, hầm tuy nen kỹ thuật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GIAO THÔNG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Đường bộ: Đường ô tô cao tốc mọi cấp; đường ô tô, đường trong đô thị cấp II trở lên; bến phà cấp II trở lên; bến xe, cơ sở đăng kiểm, phương tiện giao thông đường bộ, trạm thu phí, trạm dừng nghỉ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Băng chuyền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Băng tải (trừ trong công nghiệp mỏ)</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Đường xe cáp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5,2</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4.1.4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Đường xe điện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Đường sắt mọi cấp: Đường sắt quốc gia; đường sắt địa phương (bao gồm đường sắt đô thị: Đường sắt trên cao, đường tàu điện ngầm/Metro); đường sắt chuyên dùng; ga hành khách, ga hàng hóa, ga kỹ thuật và ga hỗn hợp cấp II trở lên; khu tập kết bảo dưỡng, sửa chữa tàu (đê-pô)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Hệ thống xe lửa một đường ray (treo trên cao)</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Lắp ráp toa xe và đầu máy của hệ thống xe lửa một đường ray (treo trên cao)</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Xây dựng hệ thống xe lửa một đường ray (treo trên cao)</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Hệ thống xe lửa 2 đường ray (trừ đường tàu điện 0140 và đường tàu điện ngầm 0150)</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Lắp đặt toa xe và đầu máy của hệ thống xe lửa 2 đường ray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2,3</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Xây dựng đường xe lửa 2 đường ray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M</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4.2.7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Đường sắt bánh răng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Cầu: Cầu đường bộ, cầu bộ hành, cầu đường sắt, cầu phao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4.3.1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Cầu đường bộ</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4.3.2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Cầu bộ hành</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4.3.3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Cầu đường sắt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4.3.4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Cầu phao</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6,7</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Hầm: Hầm đường ô tô, hầm đường sắt, hầm cho người đi bộ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4.4.1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Hầm qua nước</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8,4</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4.4.2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Hầm qua đất</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8,0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đường thủy nội địa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Cảng, bến thủy nội địa (cho hành khách)</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7,5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Cảng sông tiếp nhận tàu</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7,5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4.5.3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Đường thủy có bề rộng (B) và độ sâu (H), nước chạy tàu (bao gồm cả phao tiêu, công trình chỉnh trị)</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7,5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4.6</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hàng hải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4.6.1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Bến/cảng biển, bến phà (cho hành khách)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7,5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4.6.2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công trình hàng hải khác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7,5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4.7</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hàng không mọi cấp: Nhà ga hàng không; khu bay (bao gồm cả các công trình đảm bảo hoạt động bay)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4.7.1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Lắp đặt các thiết bị, máy móc ở sân bay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2,8</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4.7.2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Lắp ráp máy bay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3,0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4.7.3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Cảng hàng không, sân bay (đường cất, hạ cánh, nhà ga hàng hóa, nhà ga hành khách)</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4.7.4</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Các công trình khác thuộc khu bay</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2,0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5</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NÔNG NGHIỆP VÀ MÔI TRƯỜNG</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5.1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thủy lợi</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 </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5.1.1</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Công trình cấp nước cấp 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5.1.2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Hồ chứa nước cấp III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5.1.3</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Đập ngăn nước và các công trình thủy lợi chịu áp khác cấp III trở lên</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6,5</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122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5.2</w:t>
            </w:r>
          </w:p>
        </w:tc>
        <w:tc>
          <w:tcPr>
            <w:tcW w:w="5247"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đê điều mọi cấp</w:t>
            </w:r>
          </w:p>
        </w:tc>
        <w:tc>
          <w:tcPr>
            <w:tcW w:w="1818"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10,0</w:t>
            </w:r>
          </w:p>
        </w:tc>
        <w:tc>
          <w:tcPr>
            <w:tcW w:w="106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t>N</w:t>
            </w:r>
          </w:p>
        </w:tc>
      </w:tr>
      <w:tr>
        <w:trPr/>
        <w:tc>
          <w:tcPr>
            <w:tcW w:w="2339" w:type="dxa"/>
            <w:gridSpan w:val="2"/>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center"/>
              <w:rPr/>
            </w:pPr>
            <w:r>
              <w:rPr>
                <w:b/>
                <w:bCs/>
              </w:rPr>
              <w:t>5.3</w:t>
            </w:r>
          </w:p>
        </w:tc>
        <w:tc>
          <w:tcPr>
            <w:tcW w:w="234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b/>
                <w:bCs/>
              </w:rPr>
              <w:t>Công trình nông nghiệp và môi trường khác cấp II trở lên</w:t>
            </w:r>
          </w:p>
        </w:tc>
        <w:tc>
          <w:tcPr>
            <w:tcW w:w="4680"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1"/>
              <w:jc w:val="left"/>
              <w:rPr/>
            </w:pPr>
            <w:r>
              <w:rPr/>
              <w:t xml:space="preserve">Mức phí bảo hiểm và mức khấu trừ thực hiện theo quy định tại </w:t>
            </w:r>
            <w:bookmarkStart w:id="7" w:name="tc_5"/>
            <w:r>
              <w:rPr/>
              <w:t>điểm d khoản 1 Điều 37 Nghị định số 67/2023/NĐ-CP</w:t>
            </w:r>
            <w:bookmarkEnd w:id="7"/>
          </w:p>
          <w:p>
            <w:pPr>
              <w:pStyle w:val="Normal"/>
              <w:bidi w:val="0"/>
              <w:spacing w:before="0" w:afterAutospacing="0" w:after="0"/>
              <w:jc w:val="left"/>
              <w:rPr/>
            </w:pPr>
            <w:r>
              <w:rPr/>
            </w:r>
          </w:p>
        </w:tc>
      </w:tr>
    </w:tbl>
    <w:p>
      <w:pPr>
        <w:pStyle w:val="Normal"/>
        <w:bidi w:val="0"/>
        <w:spacing w:beforeAutospacing="0" w:before="120" w:afterAutospacing="1"/>
        <w:jc w:val="left"/>
        <w:rPr/>
      </w:pPr>
      <w:r>
        <w:rPr>
          <w:b/>
          <w:bCs/>
          <w:i/>
          <w:iCs/>
        </w:rPr>
        <w:t>Ghi chú:</w:t>
      </w:r>
    </w:p>
    <w:p>
      <w:pPr>
        <w:pStyle w:val="Normal"/>
        <w:bidi w:val="0"/>
        <w:spacing w:beforeAutospacing="0" w:before="120" w:afterAutospacing="1"/>
        <w:jc w:val="left"/>
        <w:rPr/>
      </w:pPr>
      <w:r>
        <w:rPr/>
        <w:t>M, N là các ký hiệu quy định về loại mức khấu trừ bảo hiểm quy định tại điểm b khoản 1 Mục II Phụ lục này.</w:t>
      </w:r>
    </w:p>
    <w:p>
      <w:pPr>
        <w:pStyle w:val="Normal"/>
        <w:bidi w:val="0"/>
        <w:spacing w:beforeAutospacing="0" w:before="120" w:afterAutospacing="1"/>
        <w:jc w:val="left"/>
        <w:rPr/>
      </w:pPr>
      <w:r>
        <w:rPr/>
        <w:t>b) Mức khấu trừ bảo hiểm:</w:t>
      </w:r>
    </w:p>
    <w:p>
      <w:pPr>
        <w:pStyle w:val="Normal"/>
        <w:bidi w:val="0"/>
        <w:spacing w:beforeAutospacing="0" w:before="120" w:afterAutospacing="1"/>
        <w:jc w:val="left"/>
        <w:rPr/>
      </w:pPr>
      <w:r>
        <w:rPr/>
        <w:t>Mức khấu trừ bảo hiểm đối với công trình quy định tại khoản 1 Mục II Phụ lục này áp dụng theo quy định tại điểm b khoản 1 Mục I Phụ lục này.</w:t>
      </w:r>
    </w:p>
    <w:p>
      <w:pPr>
        <w:pStyle w:val="Normal"/>
        <w:bidi w:val="0"/>
        <w:spacing w:beforeAutospacing="0" w:before="120" w:afterAutospacing="1"/>
        <w:jc w:val="left"/>
        <w:rPr/>
      </w:pPr>
      <w:r>
        <w:rPr/>
        <w:t xml:space="preserve">2. Đối với công trình xây dựng có giá trị từ 1.000 tỷ đồng trở lên quy định tại khoản 1 Mục II Phụ lục này: Thực hiện theo quy định tại </w:t>
      </w:r>
      <w:bookmarkStart w:id="8" w:name="dc_28"/>
      <w:r>
        <w:rPr/>
        <w:t>điểm c khoản 1 Điều 37 Nghị định</w:t>
      </w:r>
      <w:bookmarkEnd w:id="8"/>
      <w:r>
        <w:rPr/>
        <w:t xml:space="preserve"> này. Trong mọi trường hợp, mức khấu trừ không thấp hơn mức khấu trừ bảo hiểm quy định tại điểm b khoản 1 Mục I Phụ lục này.</w:t>
      </w:r>
    </w:p>
    <w:p>
      <w:pPr>
        <w:pStyle w:val="Normal"/>
        <w:bidi w:val="0"/>
        <w:spacing w:beforeAutospacing="0" w:before="120" w:afterAutospacing="1"/>
        <w:jc w:val="left"/>
        <w:rPr/>
      </w:pPr>
      <w:r>
        <w:rPr/>
        <w:t xml:space="preserve">3. Đối với công trình xây dựng chưa được quy định tại khoản 1, khoản 2 Mục II Phụ lục này: Thực hiện theo quy định tại </w:t>
      </w:r>
      <w:bookmarkStart w:id="9" w:name="tc_6"/>
      <w:r>
        <w:rPr/>
        <w:t>điểm d khoản 1 Điều 37 Nghị định này</w:t>
      </w:r>
      <w:bookmarkEnd w:id="9"/>
      <w:r>
        <w:rPr/>
        <w:t>. Trong mọi trường hợp, mức khấu trừ không thấp hơn mức khấu trừ bảo hiểm quy định tại điểm b khoản 1 Mục I Phụ lục này.</w:t>
      </w:r>
    </w:p>
    <w:p>
      <w:pPr>
        <w:pStyle w:val="Normal"/>
        <w:bidi w:val="0"/>
        <w:spacing w:beforeAutospacing="0" w:before="120" w:afterAutospacing="1"/>
        <w:jc w:val="left"/>
        <w:rPr/>
      </w:pPr>
      <w:r>
        <w:rPr/>
        <w:t> </w:t>
      </w:r>
    </w:p>
    <w:p>
      <w:pPr>
        <w:pStyle w:val="Normal"/>
        <w:bidi w:val="0"/>
        <w:spacing w:beforeAutospacing="0" w:before="120" w:afterAutospacing="1"/>
        <w:jc w:val="center"/>
        <w:rPr/>
      </w:pPr>
      <w:bookmarkStart w:id="10" w:name="chuong_pl_1"/>
      <w:r>
        <w:rPr>
          <w:b/>
          <w:bCs/>
        </w:rPr>
        <w:t>PHỤ LỤC X</w:t>
      </w:r>
      <w:bookmarkEnd w:id="10"/>
    </w:p>
    <w:p>
      <w:pPr>
        <w:pStyle w:val="Normal"/>
        <w:bidi w:val="0"/>
        <w:spacing w:beforeAutospacing="0" w:before="120" w:afterAutospacing="1"/>
        <w:jc w:val="center"/>
        <w:rPr/>
      </w:pPr>
      <w:r>
        <w:rPr>
          <w:i/>
          <w:iCs/>
        </w:rPr>
        <w:t>(Kèm theo Nghị định số 220/2026/NĐ-CP ngày 22 tháng 6 năm 2026 của Chính phủ)</w:t>
      </w:r>
    </w:p>
    <w:p>
      <w:pPr>
        <w:pStyle w:val="Normal"/>
        <w:bidi w:val="0"/>
        <w:spacing w:beforeAutospacing="0" w:before="120" w:afterAutospacing="1"/>
        <w:jc w:val="left"/>
        <w:rPr/>
      </w:pPr>
      <w:r>
        <w:rPr/>
        <w:t>Thay thế Mẫu số 3 Phụ lục X như sau:</w:t>
      </w:r>
    </w:p>
    <w:p>
      <w:pPr>
        <w:pStyle w:val="Normal"/>
        <w:bidi w:val="0"/>
        <w:spacing w:beforeAutospacing="0" w:before="120" w:afterAutospacing="1"/>
        <w:jc w:val="right"/>
        <w:rPr/>
      </w:pPr>
      <w:bookmarkStart w:id="11" w:name="chuong_pl_2"/>
      <w:r>
        <w:rPr>
          <w:b/>
          <w:bCs/>
        </w:rPr>
        <w:t>Mẫu số 3</w:t>
      </w:r>
      <w:bookmarkEnd w:id="11"/>
    </w:p>
    <w:p>
      <w:pPr>
        <w:pStyle w:val="Normal"/>
        <w:bidi w:val="0"/>
        <w:spacing w:beforeAutospacing="0" w:before="120" w:afterAutospacing="1"/>
        <w:jc w:val="center"/>
        <w:rPr/>
      </w:pPr>
      <w:bookmarkStart w:id="12" w:name="chuong_pl_2_name"/>
      <w:r>
        <w:rPr>
          <w:b/>
          <w:bCs/>
        </w:rPr>
        <w:t>BÁO CÁO KẾT QUẢ KINH DOANH BẢO HIỂM BẮT BUỘC</w:t>
      </w:r>
      <w:bookmarkEnd w:id="12"/>
      <w:r>
        <w:rPr>
          <w:b/>
          <w:bCs/>
        </w:rPr>
        <w:br/>
      </w:r>
      <w:bookmarkStart w:id="13" w:name="chuong_pl_2_name_name"/>
      <w:r>
        <w:rPr>
          <w:b/>
          <w:bCs/>
        </w:rPr>
        <w:t>CÔNG TRÌNH TRONG HOẠT ĐỘNG XÂY DỰNG</w:t>
      </w:r>
      <w:bookmarkEnd w:id="13"/>
    </w:p>
    <w:p>
      <w:pPr>
        <w:pStyle w:val="Normal"/>
        <w:bidi w:val="0"/>
        <w:spacing w:beforeAutospacing="0" w:before="120" w:afterAutospacing="1"/>
        <w:jc w:val="left"/>
        <w:rPr/>
      </w:pPr>
      <w:r>
        <w:rPr/>
        <w:t>Tên doanh nghiệp bảo hiểm: ...</w:t>
      </w:r>
    </w:p>
    <w:p>
      <w:pPr>
        <w:pStyle w:val="Normal"/>
        <w:bidi w:val="0"/>
        <w:spacing w:beforeAutospacing="0" w:before="120" w:afterAutospacing="1"/>
        <w:jc w:val="left"/>
        <w:rPr/>
      </w:pPr>
      <w:r>
        <w:rPr/>
        <w:t>Kỳ báo cáo: Năm ...</w:t>
      </w:r>
    </w:p>
    <w:p>
      <w:pPr>
        <w:pStyle w:val="Normal"/>
        <w:bidi w:val="0"/>
        <w:spacing w:beforeAutospacing="0" w:before="120" w:afterAutospacing="1"/>
        <w:jc w:val="left"/>
        <w:rPr/>
      </w:pPr>
      <w:r>
        <w:rPr/>
        <w:t>1. Kết quả kinh doanh nghiệp vụ bảo hiểm tài sản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98" w:type="dxa"/>
          <w:bottom w:w="0" w:type="dxa"/>
          <w:right w:w="108" w:type="dxa"/>
        </w:tblCellMar>
      </w:tblPr>
      <w:tblGrid>
        <w:gridCol w:w="461"/>
        <w:gridCol w:w="89"/>
        <w:gridCol w:w="414"/>
        <w:gridCol w:w="137"/>
        <w:gridCol w:w="286"/>
        <w:gridCol w:w="264"/>
        <w:gridCol w:w="551"/>
        <w:gridCol w:w="550"/>
        <w:gridCol w:w="551"/>
        <w:gridCol w:w="551"/>
        <w:gridCol w:w="437"/>
        <w:gridCol w:w="113"/>
        <w:gridCol w:w="551"/>
        <w:gridCol w:w="550"/>
        <w:gridCol w:w="551"/>
        <w:gridCol w:w="551"/>
        <w:gridCol w:w="550"/>
        <w:gridCol w:w="551"/>
        <w:gridCol w:w="550"/>
        <w:gridCol w:w="424"/>
        <w:gridCol w:w="127"/>
        <w:gridCol w:w="551"/>
      </w:tblGrid>
      <w:tr>
        <w:trPr/>
        <w:tc>
          <w:tcPr>
            <w:tcW w:w="461"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STT</w:t>
            </w:r>
          </w:p>
        </w:tc>
        <w:tc>
          <w:tcPr>
            <w:tcW w:w="503"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Số lượng công trình</w:t>
            </w:r>
          </w:p>
        </w:tc>
        <w:tc>
          <w:tcPr>
            <w:tcW w:w="423"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Số vụ tổn thất</w:t>
            </w:r>
          </w:p>
        </w:tc>
        <w:tc>
          <w:tcPr>
            <w:tcW w:w="2904" w:type="dxa"/>
            <w:gridSpan w:val="6"/>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Doanh thu phí bảo hiểm (triệu đồng)</w:t>
            </w:r>
          </w:p>
        </w:tc>
        <w:tc>
          <w:tcPr>
            <w:tcW w:w="4391" w:type="dxa"/>
            <w:gridSpan w:val="9"/>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Chi phí hoạt động kinh doanh bảo hiểm (triệu đồng)</w:t>
            </w:r>
          </w:p>
        </w:tc>
        <w:tc>
          <w:tcPr>
            <w:tcW w:w="678"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1"/>
              <w:jc w:val="center"/>
              <w:rPr/>
            </w:pPr>
            <w:r>
              <w:rPr>
                <w:b/>
                <w:bCs/>
                <w:sz w:val="10"/>
              </w:rPr>
              <w:t>Lợi nhuận/Lỗ thuần hoạt động kinh doanh bảo hiểm (triệu đồng) (14) = (5)- (13)</w:t>
            </w:r>
          </w:p>
          <w:p>
            <w:pPr>
              <w:pStyle w:val="Normal"/>
              <w:bidi w:val="0"/>
              <w:spacing w:beforeAutospacing="0" w:before="120" w:afterAutospacing="0" w:after="0"/>
              <w:jc w:val="left"/>
              <w:rPr/>
            </w:pPr>
            <w:r>
              <w:rPr>
                <w:b/>
                <w:bCs/>
                <w:sz w:val="10"/>
              </w:rPr>
              <w:t> </w:t>
            </w:r>
          </w:p>
        </w:tc>
      </w:tr>
      <w:tr>
        <w:trPr/>
        <w:tc>
          <w:tcPr>
            <w:tcW w:w="550" w:type="dxa"/>
            <w:gridSpan w:val="2"/>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0" w:type="dxa"/>
              <w:right w:w="0" w:type="dxa"/>
            </w:tcMar>
            <w:vAlign w:val="center"/>
          </w:tcPr>
          <w:p>
            <w:pPr>
              <w:pStyle w:val="Normal"/>
              <w:bidi w:val="0"/>
              <w:spacing w:beforeAutospacing="0" w:before="120" w:afterAutospacing="0" w:after="0"/>
              <w:jc w:val="left"/>
              <w:rPr/>
            </w:pPr>
            <w:r>
              <w:rPr/>
            </w:r>
          </w:p>
        </w:tc>
        <w:tc>
          <w:tcPr>
            <w:tcW w:w="551" w:type="dxa"/>
            <w:gridSpan w:val="2"/>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right w:w="0" w:type="dxa"/>
            </w:tcMar>
            <w:vAlign w:val="center"/>
          </w:tcPr>
          <w:p>
            <w:pPr>
              <w:pStyle w:val="Normal"/>
              <w:bidi w:val="0"/>
              <w:spacing w:beforeAutospacing="0" w:before="120" w:afterAutospacing="0" w:after="0"/>
              <w:jc w:val="left"/>
              <w:rPr/>
            </w:pPr>
            <w:r>
              <w:rPr/>
            </w:r>
          </w:p>
        </w:tc>
        <w:tc>
          <w:tcPr>
            <w:tcW w:w="550" w:type="dxa"/>
            <w:gridSpan w:val="2"/>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right w:w="0" w:type="dxa"/>
            </w:tcMar>
            <w:vAlign w:val="center"/>
          </w:tcPr>
          <w:p>
            <w:pPr>
              <w:pStyle w:val="Normal"/>
              <w:bidi w:val="0"/>
              <w:spacing w:beforeAutospacing="0" w:before="120" w:afterAutospacing="0" w:after="0"/>
              <w:jc w:val="left"/>
              <w:rPr/>
            </w:pPr>
            <w:r>
              <w:rPr/>
            </w:r>
          </w:p>
        </w:tc>
        <w:tc>
          <w:tcPr>
            <w:tcW w:w="551"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Doanh thu phí bảo hiểm gốc và nhận tái (1)</w:t>
            </w:r>
          </w:p>
        </w:tc>
        <w:tc>
          <w:tcPr>
            <w:tcW w:w="550"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Phí nhượng tái bảo hiểm (2)</w:t>
            </w:r>
          </w:p>
        </w:tc>
        <w:tc>
          <w:tcPr>
            <w:tcW w:w="551"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Hoa hồng nhượng tái bảo hiểm (3)</w:t>
            </w:r>
          </w:p>
        </w:tc>
        <w:tc>
          <w:tcPr>
            <w:tcW w:w="551"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Thu khác (4)</w:t>
            </w:r>
          </w:p>
        </w:tc>
        <w:tc>
          <w:tcPr>
            <w:tcW w:w="550"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Tổng cộng (5) = (1)-(2)+(3)+(4)</w:t>
            </w:r>
          </w:p>
        </w:tc>
        <w:tc>
          <w:tcPr>
            <w:tcW w:w="551"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Chi bồi thường bảo hiểm gốc và nhận tái (6)</w:t>
            </w:r>
          </w:p>
        </w:tc>
        <w:tc>
          <w:tcPr>
            <w:tcW w:w="550"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Thu bồi thường nhượng tái bảo hiểm (7)</w:t>
            </w:r>
          </w:p>
        </w:tc>
        <w:tc>
          <w:tcPr>
            <w:tcW w:w="551"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Tăng (giảm) dự phòng bồi thường bảo hiểm gốc và nhận tái bảo hiểm (8)</w:t>
            </w:r>
          </w:p>
        </w:tc>
        <w:tc>
          <w:tcPr>
            <w:tcW w:w="551"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Tăng (giảm) dự phòng bồi thường nhượng tái bảo hiểm (9)</w:t>
            </w:r>
          </w:p>
        </w:tc>
        <w:tc>
          <w:tcPr>
            <w:tcW w:w="550"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Tăng (giảm) dự phòng dao động lớn (10)</w:t>
            </w:r>
          </w:p>
        </w:tc>
        <w:tc>
          <w:tcPr>
            <w:tcW w:w="551"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Chi khác hoạt động kinh doanh bảo hiểm (11)</w:t>
            </w:r>
          </w:p>
        </w:tc>
        <w:tc>
          <w:tcPr>
            <w:tcW w:w="550"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Chi quản lý doanh nghiệp (12)</w:t>
            </w:r>
          </w:p>
        </w:tc>
        <w:tc>
          <w:tcPr>
            <w:tcW w:w="551"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sz w:val="10"/>
              </w:rPr>
              <w:t>Tổng cộng (13) = (6)- (7) + (8)-(9)+ (10)+ (11)+ (12)</w:t>
            </w:r>
          </w:p>
        </w:tc>
        <w:tc>
          <w:tcPr>
            <w:tcW w:w="55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right w:w="0" w:type="dxa"/>
            </w:tcMar>
            <w:vAlign w:val="center"/>
          </w:tcPr>
          <w:p>
            <w:pPr>
              <w:pStyle w:val="Normal"/>
              <w:bidi w:val="0"/>
              <w:spacing w:beforeAutospacing="0" w:before="120" w:afterAutospacing="0" w:after="0"/>
              <w:jc w:val="center"/>
              <w:rPr/>
            </w:pPr>
            <w:r>
              <w:rPr/>
            </w:r>
          </w:p>
        </w:tc>
      </w:tr>
      <w:tr>
        <w:trPr/>
        <w:tc>
          <w:tcPr>
            <w:tcW w:w="550" w:type="dxa"/>
            <w:gridSpan w:val="2"/>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0"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c>
          <w:tcPr>
            <w:tcW w:w="551"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sz w:val="10"/>
              </w:rPr>
              <w:t> </w:t>
            </w:r>
          </w:p>
        </w:tc>
      </w:tr>
    </w:tbl>
    <w:p>
      <w:pPr>
        <w:pStyle w:val="Normal"/>
        <w:bidi w:val="0"/>
        <w:spacing w:beforeAutospacing="0" w:before="120" w:afterAutospacing="1"/>
        <w:jc w:val="left"/>
        <w:rPr/>
      </w:pPr>
      <w:r>
        <w:rPr/>
        <w:t>2. Kết quả kinh doanh của bảo hiểm bắt buộc công trình trong thời gian xây dựng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98" w:type="dxa"/>
          <w:bottom w:w="0" w:type="dxa"/>
          <w:right w:w="108" w:type="dxa"/>
        </w:tblCellMar>
      </w:tblPr>
      <w:tblGrid>
        <w:gridCol w:w="768"/>
        <w:gridCol w:w="271"/>
        <w:gridCol w:w="1040"/>
        <w:gridCol w:w="116"/>
        <w:gridCol w:w="1"/>
        <w:gridCol w:w="923"/>
        <w:gridCol w:w="97"/>
        <w:gridCol w:w="1"/>
        <w:gridCol w:w="942"/>
        <w:gridCol w:w="68"/>
        <w:gridCol w:w="1"/>
        <w:gridCol w:w="971"/>
        <w:gridCol w:w="39"/>
        <w:gridCol w:w="1"/>
        <w:gridCol w:w="1000"/>
        <w:gridCol w:w="61"/>
        <w:gridCol w:w="1"/>
        <w:gridCol w:w="1211"/>
        <w:gridCol w:w="1"/>
        <w:gridCol w:w="826"/>
        <w:gridCol w:w="1"/>
        <w:gridCol w:w="1019"/>
      </w:tblGrid>
      <w:tr>
        <w:trPr/>
        <w:tc>
          <w:tcPr>
            <w:tcW w:w="1039" w:type="dxa"/>
            <w:gridSpan w:val="2"/>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STT</w:t>
            </w:r>
          </w:p>
        </w:tc>
        <w:tc>
          <w:tcPr>
            <w:tcW w:w="104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Công trình xây dựng được bảo hiểm (*)</w:t>
            </w:r>
          </w:p>
        </w:tc>
        <w:tc>
          <w:tcPr>
            <w:tcW w:w="1040" w:type="dxa"/>
            <w:gridSpan w:val="3"/>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Số lượng công trình</w:t>
            </w:r>
          </w:p>
        </w:tc>
        <w:tc>
          <w:tcPr>
            <w:tcW w:w="1040" w:type="dxa"/>
            <w:gridSpan w:val="3"/>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1"/>
              <w:jc w:val="center"/>
              <w:rPr/>
            </w:pPr>
            <w:r>
              <w:rPr>
                <w:b/>
                <w:bCs/>
              </w:rPr>
              <w:t>Phí bảo hiểm</w:t>
            </w:r>
          </w:p>
          <w:p>
            <w:pPr>
              <w:pStyle w:val="Normal"/>
              <w:bidi w:val="0"/>
              <w:spacing w:beforeAutospacing="0" w:before="120" w:afterAutospacing="0" w:after="0"/>
              <w:jc w:val="center"/>
              <w:rPr/>
            </w:pPr>
            <w:r>
              <w:rPr>
                <w:i/>
                <w:iCs/>
              </w:rPr>
              <w:t>(triệu đồng)</w:t>
            </w:r>
          </w:p>
        </w:tc>
        <w:tc>
          <w:tcPr>
            <w:tcW w:w="1040" w:type="dxa"/>
            <w:gridSpan w:val="3"/>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1"/>
              <w:jc w:val="center"/>
              <w:rPr/>
            </w:pPr>
            <w:r>
              <w:rPr>
                <w:b/>
                <w:bCs/>
              </w:rPr>
              <w:t>Bồi thường bảo hiểm</w:t>
            </w:r>
          </w:p>
          <w:p>
            <w:pPr>
              <w:pStyle w:val="Normal"/>
              <w:bidi w:val="0"/>
              <w:spacing w:beforeAutospacing="0" w:before="120" w:afterAutospacing="0" w:after="0"/>
              <w:jc w:val="center"/>
              <w:rPr/>
            </w:pPr>
            <w:r>
              <w:rPr>
                <w:i/>
                <w:iCs/>
              </w:rPr>
              <w:t>(triệu đồng)</w:t>
            </w:r>
          </w:p>
        </w:tc>
        <w:tc>
          <w:tcPr>
            <w:tcW w:w="1040" w:type="dxa"/>
            <w:gridSpan w:val="3"/>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Số vụ tổn thất</w:t>
            </w:r>
          </w:p>
        </w:tc>
        <w:tc>
          <w:tcPr>
            <w:tcW w:w="3120" w:type="dxa"/>
            <w:gridSpan w:val="7"/>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 xml:space="preserve">Tổng số tiền bảo hiểm </w:t>
            </w:r>
            <w:r>
              <w:rPr>
                <w:i/>
                <w:iCs/>
              </w:rPr>
              <w:t>(triệu đồng)</w:t>
            </w:r>
          </w:p>
        </w:tc>
      </w:tr>
      <w:tr>
        <w:trPr/>
        <w:tc>
          <w:tcPr>
            <w:tcW w:w="768"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Mar>
              <w:left w:w="-10" w:type="dxa"/>
              <w:right w:w="0" w:type="dxa"/>
            </w:tcMar>
            <w:vAlign w:val="center"/>
          </w:tcPr>
          <w:p>
            <w:pPr>
              <w:pStyle w:val="Normal"/>
              <w:bidi w:val="0"/>
              <w:spacing w:beforeAutospacing="0" w:before="120" w:afterAutospacing="0" w:after="0"/>
              <w:jc w:val="center"/>
              <w:rPr/>
            </w:pPr>
            <w:r>
              <w:rPr/>
            </w:r>
          </w:p>
        </w:tc>
        <w:tc>
          <w:tcPr>
            <w:tcW w:w="1427" w:type="dxa"/>
            <w:gridSpan w:val="3"/>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right w:w="0" w:type="dxa"/>
            </w:tcMar>
            <w:vAlign w:val="center"/>
          </w:tcPr>
          <w:p>
            <w:pPr>
              <w:pStyle w:val="Normal"/>
              <w:bidi w:val="0"/>
              <w:spacing w:beforeAutospacing="0" w:before="120" w:afterAutospacing="0" w:after="0"/>
              <w:jc w:val="center"/>
              <w:rPr/>
            </w:pPr>
            <w:r>
              <w:rPr/>
            </w:r>
          </w:p>
        </w:tc>
        <w:tc>
          <w:tcPr>
            <w:tcW w:w="1021" w:type="dxa"/>
            <w:gridSpan w:val="3"/>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right w:w="0" w:type="dxa"/>
            </w:tcMar>
            <w:vAlign w:val="center"/>
          </w:tcPr>
          <w:p>
            <w:pPr>
              <w:pStyle w:val="Normal"/>
              <w:bidi w:val="0"/>
              <w:spacing w:beforeAutospacing="0" w:before="120" w:afterAutospacing="0" w:after="0"/>
              <w:jc w:val="center"/>
              <w:rPr/>
            </w:pPr>
            <w:r>
              <w:rPr/>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Phí bảo hiểm gốc</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Phí bảo hiểm giữ lại</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Bồi thường bảo hiểm gốc</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Bồi thường bảo hiểm thuộc trách nhiệm giữ lại</w:t>
            </w:r>
          </w:p>
        </w:tc>
        <w:tc>
          <w:tcPr>
            <w:tcW w:w="827"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right w:w="0" w:type="dxa"/>
            </w:tcMar>
            <w:vAlign w:val="center"/>
          </w:tcPr>
          <w:p>
            <w:pPr>
              <w:pStyle w:val="Normal"/>
              <w:bidi w:val="0"/>
              <w:spacing w:beforeAutospacing="0" w:before="120" w:afterAutospacing="0" w:after="0"/>
              <w:jc w:val="center"/>
              <w:rPr/>
            </w:pPr>
            <w:r>
              <w:rPr/>
            </w:r>
          </w:p>
        </w:tc>
        <w:tc>
          <w:tcPr>
            <w:tcW w:w="1020"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right w:w="0" w:type="dxa"/>
            </w:tcMar>
            <w:vAlign w:val="center"/>
          </w:tcPr>
          <w:p>
            <w:pPr>
              <w:pStyle w:val="Normal"/>
              <w:bidi w:val="0"/>
              <w:spacing w:beforeAutospacing="0" w:before="120" w:afterAutospacing="0" w:after="0"/>
              <w:jc w:val="center"/>
              <w:rPr/>
            </w:pPr>
            <w:r>
              <w:rPr/>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I</w:t>
            </w:r>
          </w:p>
        </w:tc>
        <w:tc>
          <w:tcPr>
            <w:tcW w:w="1427"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b/>
                <w:bCs/>
              </w:rPr>
              <w:t>CÔNG TRÌNH DÂN DỤNG</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2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1.1</w:t>
            </w:r>
          </w:p>
        </w:tc>
        <w:tc>
          <w:tcPr>
            <w:tcW w:w="1427"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t>Nhà ở</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2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1.2</w:t>
            </w:r>
          </w:p>
        </w:tc>
        <w:tc>
          <w:tcPr>
            <w:tcW w:w="1427"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t>Công trình công cộng</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2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II</w:t>
            </w:r>
          </w:p>
        </w:tc>
        <w:tc>
          <w:tcPr>
            <w:tcW w:w="1427"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b/>
                <w:bCs/>
              </w:rPr>
              <w:t>CÔNG TRÌNH CÔNG NGHIỆP</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2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2.1</w:t>
            </w:r>
          </w:p>
        </w:tc>
        <w:tc>
          <w:tcPr>
            <w:tcW w:w="1427"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t>Công trình sản xuất vật liệu, sản phẩm xây dựng cấp II trở lên</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2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2.2</w:t>
            </w:r>
          </w:p>
        </w:tc>
        <w:tc>
          <w:tcPr>
            <w:tcW w:w="1427"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b/>
                <w:bCs/>
              </w:rPr>
              <w:t>....</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2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w:t>
            </w:r>
          </w:p>
        </w:tc>
        <w:tc>
          <w:tcPr>
            <w:tcW w:w="1427"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t> </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2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w:t>
            </w:r>
          </w:p>
        </w:tc>
        <w:tc>
          <w:tcPr>
            <w:tcW w:w="1427"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t> </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2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w:t>
            </w:r>
          </w:p>
        </w:tc>
        <w:tc>
          <w:tcPr>
            <w:tcW w:w="1427" w:type="dxa"/>
            <w:gridSpan w:val="3"/>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t> </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20"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2196" w:type="dxa"/>
            <w:gridSpan w:val="5"/>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Tổng cộng</w:t>
            </w:r>
          </w:p>
        </w:tc>
        <w:tc>
          <w:tcPr>
            <w:tcW w:w="102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1"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62" w:type="dxa"/>
            <w:gridSpan w:val="3"/>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212"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827" w:type="dxa"/>
            <w:gridSpan w:val="2"/>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c>
          <w:tcPr>
            <w:tcW w:w="101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bl>
    <w:p>
      <w:pPr>
        <w:pStyle w:val="Normal"/>
        <w:bidi w:val="0"/>
        <w:spacing w:beforeAutospacing="0" w:before="120" w:afterAutospacing="1"/>
        <w:jc w:val="left"/>
        <w:rPr/>
      </w:pPr>
      <w:r>
        <w:rPr/>
        <w:t>3. Kết quả kinh doanh nghiệp vụ bảo hiểm tài sản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98" w:type="dxa"/>
          <w:bottom w:w="0" w:type="dxa"/>
          <w:right w:w="108" w:type="dxa"/>
        </w:tblCellMar>
      </w:tblPr>
      <w:tblGrid>
        <w:gridCol w:w="769"/>
        <w:gridCol w:w="2072"/>
        <w:gridCol w:w="6519"/>
      </w:tblGrid>
      <w:tr>
        <w:trPr/>
        <w:tc>
          <w:tcPr>
            <w:tcW w:w="76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STT</w:t>
            </w:r>
          </w:p>
        </w:tc>
        <w:tc>
          <w:tcPr>
            <w:tcW w:w="207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Năm</w:t>
            </w:r>
          </w:p>
        </w:tc>
        <w:tc>
          <w:tcPr>
            <w:tcW w:w="651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b/>
                <w:bCs/>
              </w:rPr>
              <w:t>Lợi nhuận/Lỗ thuần hoạt động kinh doanh bảo hiểm (triệu đồng)</w:t>
            </w:r>
          </w:p>
        </w:tc>
      </w:tr>
      <w:tr>
        <w:trPr/>
        <w:tc>
          <w:tcPr>
            <w:tcW w:w="76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1</w:t>
            </w:r>
          </w:p>
        </w:tc>
        <w:tc>
          <w:tcPr>
            <w:tcW w:w="20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t>Năm báo cáo (Năm n)</w:t>
            </w:r>
          </w:p>
        </w:tc>
        <w:tc>
          <w:tcPr>
            <w:tcW w:w="651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2</w:t>
            </w:r>
          </w:p>
        </w:tc>
        <w:tc>
          <w:tcPr>
            <w:tcW w:w="20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t>Năm (n-1)</w:t>
            </w:r>
          </w:p>
        </w:tc>
        <w:tc>
          <w:tcPr>
            <w:tcW w:w="651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r>
        <w:trPr/>
        <w:tc>
          <w:tcPr>
            <w:tcW w:w="76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center"/>
              <w:rPr/>
            </w:pPr>
            <w:r>
              <w:rPr/>
              <w:t>3</w:t>
            </w:r>
          </w:p>
        </w:tc>
        <w:tc>
          <w:tcPr>
            <w:tcW w:w="207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Autospacing="0" w:before="120" w:afterAutospacing="0" w:after="0"/>
              <w:jc w:val="left"/>
              <w:rPr/>
            </w:pPr>
            <w:r>
              <w:rPr/>
              <w:t>Năm (n-2)</w:t>
            </w:r>
          </w:p>
        </w:tc>
        <w:tc>
          <w:tcPr>
            <w:tcW w:w="6519" w:type="dxa"/>
            <w:tcBorders>
              <w:bottom w:val="single" w:sz="8" w:space="0" w:color="000000"/>
              <w:right w:val="single" w:sz="8" w:space="0" w:color="000000"/>
              <w:insideH w:val="single" w:sz="8" w:space="0" w:color="000000"/>
              <w:insideV w:val="single" w:sz="8" w:space="0" w:color="000000"/>
            </w:tcBorders>
            <w:shd w:fill="auto" w:val="clear"/>
          </w:tcPr>
          <w:p>
            <w:pPr>
              <w:pStyle w:val="Normal"/>
              <w:bidi w:val="0"/>
              <w:spacing w:beforeAutospacing="0" w:before="120" w:afterAutospacing="0" w:after="0"/>
              <w:jc w:val="left"/>
              <w:rPr/>
            </w:pPr>
            <w:r>
              <w:rPr/>
              <w:t> </w:t>
            </w:r>
          </w:p>
        </w:tc>
      </w:tr>
    </w:tbl>
    <w:p>
      <w:pPr>
        <w:pStyle w:val="Normal"/>
        <w:bidi w:val="0"/>
        <w:spacing w:beforeAutospacing="0" w:before="120" w:afterAutospacing="1"/>
        <w:jc w:val="left"/>
        <w:rPr/>
      </w:pPr>
      <w:r>
        <w:rPr/>
        <w:t>(*) Doanh nghiệp bảo hiểm báo cáo chi tiết theo loại công trình xây dựng nêu tại Phụ lục III ban hành kèm theo Nghị định số 220/2026/NĐ-CP ngày 22/6/2026.</w:t>
      </w:r>
    </w:p>
    <w:p>
      <w:pPr>
        <w:pStyle w:val="Normal"/>
        <w:bidi w:val="0"/>
        <w:spacing w:beforeAutospacing="0" w:before="120" w:afterAutospacing="1"/>
        <w:jc w:val="left"/>
        <w:rPr/>
      </w:pPr>
      <w:r>
        <w:rPr/>
        <w:t>Chúng tôi xin đảm bảo những thông tin trên là đúng sự thực.</w:t>
      </w:r>
    </w:p>
    <w:p>
      <w:pPr>
        <w:pStyle w:val="Normal"/>
        <w:bidi w:val="0"/>
        <w:spacing w:beforeAutospacing="0" w:before="120" w:afterAutospacing="1"/>
        <w:jc w:val="center"/>
        <w:rPr/>
      </w:pPr>
      <w:r>
        <w:rPr/>
        <w:t> </w:t>
      </w:r>
    </w:p>
    <w:tbl>
      <w:tblPr>
        <w:tblW w:w="5000" w:type="pct"/>
        <w:jc w:val="left"/>
        <w:tblInd w:w="0" w:type="dxa"/>
        <w:tblBorders/>
        <w:tblCellMar>
          <w:top w:w="45" w:type="dxa"/>
          <w:left w:w="45" w:type="dxa"/>
          <w:bottom w:w="45" w:type="dxa"/>
          <w:right w:w="45" w:type="dxa"/>
        </w:tblCellMar>
      </w:tblPr>
      <w:tblGrid>
        <w:gridCol w:w="2227"/>
        <w:gridCol w:w="2258"/>
        <w:gridCol w:w="2124"/>
        <w:gridCol w:w="2750"/>
      </w:tblGrid>
      <w:tr>
        <w:trPr/>
        <w:tc>
          <w:tcPr>
            <w:tcW w:w="2227" w:type="dxa"/>
            <w:tcBorders/>
            <w:shd w:fill="auto" w:val="clear"/>
          </w:tcPr>
          <w:p>
            <w:pPr>
              <w:pStyle w:val="Normal"/>
              <w:bidi w:val="0"/>
              <w:spacing w:beforeAutospacing="0" w:before="120" w:afterAutospacing="0" w:after="0"/>
              <w:jc w:val="center"/>
              <w:rPr/>
            </w:pPr>
            <w:r>
              <w:rPr>
                <w:b/>
                <w:bCs/>
                <w:sz w:val="16"/>
              </w:rPr>
              <w:t>Người lập biểu</w:t>
            </w:r>
            <w:r>
              <w:rPr>
                <w:sz w:val="16"/>
              </w:rPr>
              <w:br/>
            </w:r>
            <w:r>
              <w:rPr>
                <w:i/>
                <w:iCs/>
                <w:sz w:val="16"/>
              </w:rPr>
              <w:t>(Ký và ghi rõ họ tên)</w:t>
            </w:r>
            <w:r>
              <w:rPr>
                <w:sz w:val="16"/>
              </w:rPr>
              <w:br/>
              <w:t> </w:t>
            </w:r>
          </w:p>
        </w:tc>
        <w:tc>
          <w:tcPr>
            <w:tcW w:w="2258" w:type="dxa"/>
            <w:tcBorders/>
            <w:shd w:fill="auto" w:val="clear"/>
          </w:tcPr>
          <w:p>
            <w:pPr>
              <w:pStyle w:val="Normal"/>
              <w:bidi w:val="0"/>
              <w:spacing w:beforeAutospacing="0" w:before="120" w:afterAutospacing="0" w:after="0"/>
              <w:jc w:val="center"/>
              <w:rPr/>
            </w:pPr>
            <w:r>
              <w:rPr>
                <w:b/>
                <w:bCs/>
                <w:sz w:val="16"/>
              </w:rPr>
              <w:t>Chuyên gia tính toán</w:t>
            </w:r>
            <w:r>
              <w:rPr>
                <w:sz w:val="16"/>
              </w:rPr>
              <w:br/>
            </w:r>
            <w:r>
              <w:rPr>
                <w:i/>
                <w:iCs/>
                <w:sz w:val="16"/>
              </w:rPr>
              <w:t>(Ký và ghi rõ họ tên)</w:t>
            </w:r>
            <w:r>
              <w:rPr>
                <w:sz w:val="16"/>
              </w:rPr>
              <w:br/>
              <w:t> </w:t>
            </w:r>
          </w:p>
        </w:tc>
        <w:tc>
          <w:tcPr>
            <w:tcW w:w="2124" w:type="dxa"/>
            <w:tcBorders/>
            <w:shd w:fill="auto" w:val="clear"/>
          </w:tcPr>
          <w:p>
            <w:pPr>
              <w:pStyle w:val="Normal"/>
              <w:bidi w:val="0"/>
              <w:spacing w:beforeAutospacing="0" w:before="120" w:afterAutospacing="0" w:after="0"/>
              <w:jc w:val="center"/>
              <w:rPr/>
            </w:pPr>
            <w:r>
              <w:rPr>
                <w:b/>
                <w:bCs/>
                <w:sz w:val="16"/>
              </w:rPr>
              <w:t>Kế toán trưởng</w:t>
            </w:r>
            <w:r>
              <w:rPr>
                <w:sz w:val="16"/>
              </w:rPr>
              <w:br/>
            </w:r>
            <w:r>
              <w:rPr>
                <w:i/>
                <w:iCs/>
                <w:sz w:val="16"/>
              </w:rPr>
              <w:t>(Ký và ghi rõ họ tên)</w:t>
            </w:r>
            <w:r>
              <w:rPr>
                <w:sz w:val="16"/>
              </w:rPr>
              <w:br/>
              <w:t> </w:t>
            </w:r>
          </w:p>
        </w:tc>
        <w:tc>
          <w:tcPr>
            <w:tcW w:w="2750" w:type="dxa"/>
            <w:tcBorders/>
            <w:shd w:fill="auto" w:val="clear"/>
          </w:tcPr>
          <w:p>
            <w:pPr>
              <w:pStyle w:val="Normal"/>
              <w:bidi w:val="0"/>
              <w:spacing w:beforeAutospacing="0" w:before="120" w:afterAutospacing="0" w:after="0"/>
              <w:jc w:val="center"/>
              <w:rPr/>
            </w:pPr>
            <w:r>
              <w:rPr>
                <w:i/>
                <w:iCs/>
                <w:sz w:val="16"/>
              </w:rPr>
              <w:t>…</w:t>
            </w:r>
            <w:r>
              <w:rPr>
                <w:i/>
                <w:iCs/>
                <w:sz w:val="16"/>
              </w:rPr>
              <w:t>., ngày….tháng….năm….</w:t>
            </w:r>
            <w:r>
              <w:rPr>
                <w:sz w:val="16"/>
              </w:rPr>
              <w:br/>
            </w:r>
            <w:r>
              <w:rPr>
                <w:b/>
                <w:bCs/>
                <w:sz w:val="16"/>
              </w:rPr>
              <w:t xml:space="preserve">Người đại diện </w:t>
              <w:br/>
              <w:t>theo pháp luật</w:t>
            </w:r>
            <w:r>
              <w:rPr>
                <w:sz w:val="16"/>
              </w:rPr>
              <w:br/>
            </w:r>
            <w:r>
              <w:rPr>
                <w:i/>
                <w:iCs/>
                <w:sz w:val="16"/>
              </w:rPr>
              <w:t>(Ký và đóng dấu)</w:t>
            </w:r>
          </w:p>
        </w:tc>
      </w:tr>
    </w:tbl>
    <w:p>
      <w:pPr>
        <w:pStyle w:val="Normal"/>
        <w:bidi w:val="0"/>
        <w:spacing w:beforeAutospacing="0" w:before="120" w:afterAutospacing="1"/>
        <w:jc w:val="left"/>
        <w:rPr/>
      </w:pPr>
      <w:r>
        <w:rPr/>
        <w:t> </w:t>
      </w:r>
    </w:p>
    <w:p>
      <w:pPr>
        <w:pStyle w:val="Normal"/>
        <w:bidi w:val="0"/>
        <w:spacing w:beforeAutospacing="0" w:before="120" w:afterAutospacing="1"/>
        <w:jc w:val="left"/>
        <w:rPr/>
      </w:pPr>
      <w:r>
        <w:rPr/>
        <w:t> </w:t>
      </w:r>
    </w:p>
    <w:sectPr>
      <w:type w:val="nextPage"/>
      <w:pgSz w:w="12240" w:h="15840"/>
      <w:pgMar w:left="1440" w:right="1440" w:header="0" w:top="1440" w:footer="0" w:bottom="144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Arial"/>
        <w:lang w:val="en-US"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jc w:val="left"/>
    </w:pPr>
    <w:rPr>
      <w:rFonts w:ascii="Calibri" w:hAnsi="Calibri" w:eastAsia="SimSun" w:cs="Arial"/>
      <w:color w:val="auto"/>
      <w:kern w:val="0"/>
      <w:sz w:val="24"/>
      <w:szCs w:val="24"/>
      <w:lang w:val="en-US" w:eastAsia="zh-CN" w:bidi="hi-IN"/>
    </w:rPr>
  </w:style>
  <w:style w:type="character" w:styleId="DefaultParagraphFont" w:default="1">
    <w:name w:val="Default Paragraph Font"/>
    <w:semiHidden/>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27</Pages>
  <Words>7981</Words>
  <Characters>27762</Characters>
  <CharactersWithSpaces>34313</CharactersWithSpaces>
  <Paragraphs>2010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2026-07-01T16:51:07Z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