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98" w:rsidRPr="00103198" w:rsidRDefault="00103198" w:rsidP="00103198">
      <w:pPr>
        <w:shd w:val="clear" w:color="auto" w:fill="FFFFFF"/>
        <w:spacing w:after="0" w:line="234" w:lineRule="atLeast"/>
        <w:jc w:val="center"/>
        <w:rPr>
          <w:rFonts w:ascii="Arial" w:eastAsia="Times New Roman" w:hAnsi="Arial" w:cs="Arial"/>
          <w:color w:val="000000"/>
          <w:sz w:val="18"/>
          <w:szCs w:val="18"/>
        </w:rPr>
      </w:pPr>
      <w:bookmarkStart w:id="0" w:name="chuong_pl"/>
      <w:r w:rsidRPr="00103198">
        <w:rPr>
          <w:rFonts w:ascii="Arial" w:eastAsia="Times New Roman" w:hAnsi="Arial" w:cs="Arial"/>
          <w:b/>
          <w:bCs/>
          <w:color w:val="000000"/>
          <w:sz w:val="24"/>
          <w:szCs w:val="24"/>
          <w:lang w:val="vi-VN"/>
        </w:rPr>
        <w:t>PHỤ LỤC</w:t>
      </w:r>
      <w:bookmarkEnd w:id="0"/>
    </w:p>
    <w:p w:rsidR="00103198" w:rsidRPr="00103198" w:rsidRDefault="00103198" w:rsidP="00103198">
      <w:pPr>
        <w:shd w:val="clear" w:color="auto" w:fill="FFFFFF"/>
        <w:spacing w:after="0" w:line="234" w:lineRule="atLeast"/>
        <w:jc w:val="center"/>
        <w:rPr>
          <w:rFonts w:ascii="Arial" w:eastAsia="Times New Roman" w:hAnsi="Arial" w:cs="Arial"/>
          <w:color w:val="000000"/>
          <w:sz w:val="18"/>
          <w:szCs w:val="18"/>
        </w:rPr>
      </w:pPr>
      <w:bookmarkStart w:id="1" w:name="chuong_pl_name"/>
      <w:r w:rsidRPr="00103198">
        <w:rPr>
          <w:rFonts w:ascii="Arial" w:eastAsia="Times New Roman" w:hAnsi="Arial" w:cs="Arial"/>
          <w:color w:val="000000"/>
          <w:sz w:val="18"/>
          <w:szCs w:val="18"/>
          <w:lang w:val="vi-VN"/>
        </w:rPr>
        <w:t>MỘT SỐ MỨC CHI ĐẶC THÙ BẢO ĐẢM CHO CÁC NỘI DUNG KIỂM TRA, XỬ LÝ, RÀ SOÁT, HỆ THỐNG HÓA VĂN BẢN QUY PHẠM PHÁP LUẬT</w:t>
      </w:r>
      <w:bookmarkEnd w:id="1"/>
      <w:r w:rsidRPr="00103198">
        <w:rPr>
          <w:rFonts w:ascii="Arial" w:eastAsia="Times New Roman" w:hAnsi="Arial" w:cs="Arial"/>
          <w:color w:val="000000"/>
          <w:sz w:val="18"/>
          <w:szCs w:val="18"/>
          <w:lang w:val="vi-VN"/>
        </w:rPr>
        <w:br/>
      </w:r>
      <w:r w:rsidRPr="00103198">
        <w:rPr>
          <w:rFonts w:ascii="Arial" w:eastAsia="Times New Roman" w:hAnsi="Arial" w:cs="Arial"/>
          <w:i/>
          <w:iCs/>
          <w:color w:val="000000"/>
          <w:sz w:val="18"/>
          <w:szCs w:val="18"/>
          <w:lang w:val="vi-VN"/>
        </w:rPr>
        <w:t>(Kèm theo Thông tư liên tịch số 122/2011/TTLT-BTC-BTP ngày 17 tháng 8 năm 2011 của liên tịch Bộ Tài chính, Bộ Tư pháp)</w:t>
      </w:r>
    </w:p>
    <w:tbl>
      <w:tblPr>
        <w:tblW w:w="0" w:type="auto"/>
        <w:tblCellSpacing w:w="0" w:type="dxa"/>
        <w:tblCellMar>
          <w:left w:w="0" w:type="dxa"/>
          <w:right w:w="0" w:type="dxa"/>
        </w:tblCellMar>
        <w:tblLook w:val="04A0" w:firstRow="1" w:lastRow="0" w:firstColumn="1" w:lastColumn="0" w:noHBand="0" w:noVBand="1"/>
      </w:tblPr>
      <w:tblGrid>
        <w:gridCol w:w="648"/>
        <w:gridCol w:w="3780"/>
        <w:gridCol w:w="1347"/>
        <w:gridCol w:w="1396"/>
        <w:gridCol w:w="1772"/>
      </w:tblGrid>
      <w:tr w:rsidR="00103198" w:rsidRPr="00103198" w:rsidTr="00103198">
        <w:trPr>
          <w:tblCellSpacing w:w="0" w:type="dxa"/>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Nội dung chi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Đơn vị tính</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Mức chi (1.000 đồng)</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Ghi chú</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cho các thành viên tham gia họp, hội thảo, tọa đàm để trao đổi nghiệp vụ kiểm tra, xử lý, rà soát, hệ thống hóa văn bản; họp xử lý kết quả kiểm tra, rà soát, hệ thống hóa văn bản theo yêu cầu, kế hoạch (bao gồm cả xử lý văn bản tại cơ quan được kiểm tra); họp bàn về kế hoạch kiểm tra, xử lý, rà soát, hệ thống hóa văn bản quy phạm pháp luật tại cơ quan kiểm tra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a</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Chủ trì cuộc họp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Người/buổi</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150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b</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Các thành viên tham dự</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Người/buổi</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100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lấy ý kiến chuyên gia đối với văn bản thuộc chuyên ngành, lĩnh vực chuyên môn phức tạp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báo cáo/01 văn bản</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300 đến 600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hỗ trợ cán bộ, công chức làm công tác kiểm tra văn bản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văn bản</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50 đến 100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thù lao cộng tác viên kiểm tra văn bản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a</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Mức chi chung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văn bản</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70 đến 140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b</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Đối với văn bản thuộc chuyên ngành, lĩnh vực chuyên môn phức tạp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văn bản</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300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soạn thảo, viết báo cáo</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a</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Báo cáo đánh giá về văn bản trái pháp luật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báo cáo</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200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lastRenderedPageBreak/>
              <w:t>b</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Báo cáo kết quả kiểm tra, rà soát, hệ thống hóa văn bản theo chuyên đề, địa bàn, theo ngành, lĩnh vực (bao gồm cả báo cáo liên ngành và báo cáo của từng Bộ, ngành, địa phương)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báo cáo</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500 đến 1.000</w:t>
            </w:r>
          </w:p>
        </w:tc>
        <w:tc>
          <w:tcPr>
            <w:tcW w:w="177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03198" w:rsidRPr="00103198" w:rsidRDefault="00103198" w:rsidP="00103198">
            <w:pPr>
              <w:spacing w:after="0" w:line="240" w:lineRule="auto"/>
              <w:rPr>
                <w:rFonts w:ascii="Times New Roman" w:eastAsia="Times New Roman" w:hAnsi="Times New Roman" w:cs="Times New Roman"/>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Trường hợp phải thuê các chuyên gia bên ngoài cơ quan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báo cáo</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1.000 đến 1.500</w:t>
            </w:r>
          </w:p>
        </w:tc>
        <w:tc>
          <w:tcPr>
            <w:tcW w:w="0" w:type="auto"/>
            <w:vMerge/>
            <w:tcBorders>
              <w:top w:val="nil"/>
              <w:left w:val="nil"/>
              <w:bottom w:val="single" w:sz="8" w:space="0" w:color="auto"/>
              <w:right w:val="single" w:sz="8" w:space="0" w:color="auto"/>
            </w:tcBorders>
            <w:vAlign w:val="center"/>
            <w:hideMark/>
          </w:tcPr>
          <w:p w:rsidR="00103198" w:rsidRPr="00103198" w:rsidRDefault="00103198" w:rsidP="00103198">
            <w:pPr>
              <w:spacing w:after="0" w:line="240" w:lineRule="auto"/>
              <w:rPr>
                <w:rFonts w:ascii="Times New Roman" w:eastAsia="Times New Roman" w:hAnsi="Times New Roman" w:cs="Times New Roman"/>
                <w:sz w:val="24"/>
                <w:szCs w:val="24"/>
              </w:rPr>
            </w:pP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Báo cáo hàng năm, đột xuất về công tác kiểm tra, rà soát, hệ thống hóa văn bản quy phạm pháp luật trên toàn quốc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báo cáo</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3.000 đến 5.000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công bố kết quả xử lý văn bản trái pháp luật, kết quả kiểm tra, rà soát, hệ thống hóa văn bản trên các phương tiện thông tin đại chúng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Mức chi được thực hiện theo chứng từ chi hợp pháp</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xây dựng hệ cơ sở dữ liệu phục vụ cho công tác kiểm tra, rà soát, hệ thống hóa văn bản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a</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after="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rà soát, xác định văn bản có hiệu lực pháp lý cao hơn đang có hiệu lực tại thời điểm kiểm tra văn bản để lập hệ cơ sở dữ liệu, làm cơ sở pháp lý phục vụ công tác kiểm tra văn bản; rà soát, hệ thống hóa văn bản theo quy định tại </w:t>
            </w:r>
            <w:bookmarkStart w:id="2" w:name="dc_5"/>
            <w:r w:rsidRPr="00103198">
              <w:rPr>
                <w:rFonts w:ascii="Times New Roman" w:eastAsia="Times New Roman" w:hAnsi="Times New Roman" w:cs="Times New Roman"/>
                <w:color w:val="000000"/>
                <w:sz w:val="24"/>
                <w:szCs w:val="24"/>
              </w:rPr>
              <w:t>điểm a khoản 3 Điều 62 Nghị định số 24/2009/NĐ-CP </w:t>
            </w:r>
            <w:bookmarkEnd w:id="2"/>
            <w:r w:rsidRPr="00103198">
              <w:rPr>
                <w:rFonts w:ascii="Times New Roman" w:eastAsia="Times New Roman" w:hAnsi="Times New Roman" w:cs="Times New Roman"/>
                <w:sz w:val="24"/>
                <w:szCs w:val="24"/>
              </w:rPr>
              <w:t>ngày 05/3/2009 của Chính phủ</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văn bản</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50 đến 100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b</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thu thập, phân loại, xử lý thông tin, tư liệu, tài liệu, dữ liệu, văn bản, trang bị sách, báo, tạp chí … phục vụ xây dựng cơ sở dữ liệu kiểm tra, rà soát, hệ thống hóa văn bản quy phạm pháp luật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Đối với việc thu thập những thông tin, tư liệu, tài liệu, dữ liệu, sách báo, tạp chí</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Được thực hiện theo chứng từ chi hợp pháp</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lastRenderedPageBreak/>
              <w: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Đối với việc phân loại, xử lý thông tin, tư liệu, tài liệu, văn bản mà không có mức giá xác định sẵn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01 tài liệu (01 văn bản)</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Từ 30 đến 70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Khoản chi này không áp dụng đối với việc thu thập các văn bản quy phạm pháp luật đã được cập nhật trong các hệ cơ sở dữ liệu điện tử của cơ quan, đơn vị hoặc đăng trên Công báo</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Chi cho các hoạt động in ấn, chuẩn bị tài liệu, thu thập các văn bản thuộc đối tượng kiểm tra, rà soát, hệ thống hóa văn bản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Được thực hiện theo chứng từ chi hợp pháp</w:t>
            </w:r>
          </w:p>
        </w:tc>
      </w:tr>
      <w:tr w:rsidR="00103198" w:rsidRPr="00103198" w:rsidTr="00103198">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Đối với các khoản chi khác: Làm đêm, làm thêm giờ, chi phí in ấn, chuẩn bị tài liệu và văn phòng phẩm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jc w:val="center"/>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103198" w:rsidRPr="00103198" w:rsidRDefault="00103198" w:rsidP="00103198">
            <w:pPr>
              <w:spacing w:before="120" w:after="120" w:line="234" w:lineRule="atLeast"/>
              <w:rPr>
                <w:rFonts w:ascii="Times New Roman" w:eastAsia="Times New Roman" w:hAnsi="Times New Roman" w:cs="Times New Roman"/>
                <w:sz w:val="24"/>
                <w:szCs w:val="24"/>
              </w:rPr>
            </w:pPr>
            <w:r w:rsidRPr="00103198">
              <w:rPr>
                <w:rFonts w:ascii="Times New Roman" w:eastAsia="Times New Roman" w:hAnsi="Times New Roman" w:cs="Times New Roman"/>
                <w:sz w:val="24"/>
                <w:szCs w:val="24"/>
              </w:rPr>
              <w:t>Căn cứ vào hóa đơn, chứng từ chi tiêu hợp pháp theo quy định hiện hành và được cấp có thẩm quyền phê duyệt dự toán trước khi thực hiện làm căn cứ quyết toán kinh phí.</w:t>
            </w:r>
          </w:p>
        </w:tc>
      </w:tr>
    </w:tbl>
    <w:p w:rsidR="00103198" w:rsidRPr="00103198" w:rsidRDefault="00103198" w:rsidP="00103198">
      <w:pPr>
        <w:shd w:val="clear" w:color="auto" w:fill="FFFFFF"/>
        <w:spacing w:before="120" w:after="120" w:line="234" w:lineRule="atLeast"/>
        <w:rPr>
          <w:rFonts w:ascii="Arial" w:eastAsia="Times New Roman" w:hAnsi="Arial" w:cs="Arial"/>
          <w:color w:val="000000"/>
          <w:sz w:val="18"/>
          <w:szCs w:val="18"/>
        </w:rPr>
      </w:pPr>
      <w:r w:rsidRPr="00103198">
        <w:rPr>
          <w:rFonts w:ascii="Arial" w:eastAsia="Times New Roman" w:hAnsi="Arial" w:cs="Arial"/>
          <w:color w:val="000000"/>
          <w:sz w:val="18"/>
          <w:szCs w:val="18"/>
          <w:lang w:val="vi-VN"/>
        </w:rPr>
        <w:t> </w:t>
      </w:r>
      <w:bookmarkStart w:id="3" w:name="_GoBack"/>
      <w:bookmarkEnd w:id="3"/>
    </w:p>
    <w:sectPr w:rsidR="00103198" w:rsidRPr="00103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33B40"/>
    <w:multiLevelType w:val="multilevel"/>
    <w:tmpl w:val="721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98"/>
    <w:rsid w:val="00103198"/>
    <w:rsid w:val="001C3441"/>
    <w:rsid w:val="00231EC8"/>
    <w:rsid w:val="0027592C"/>
    <w:rsid w:val="00707D37"/>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4CB0-3601-4666-ACF4-2DE8D010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07534">
      <w:bodyDiv w:val="1"/>
      <w:marLeft w:val="0"/>
      <w:marRight w:val="0"/>
      <w:marTop w:val="0"/>
      <w:marBottom w:val="0"/>
      <w:divBdr>
        <w:top w:val="none" w:sz="0" w:space="0" w:color="auto"/>
        <w:left w:val="none" w:sz="0" w:space="0" w:color="auto"/>
        <w:bottom w:val="none" w:sz="0" w:space="0" w:color="auto"/>
        <w:right w:val="none" w:sz="0" w:space="0" w:color="auto"/>
      </w:divBdr>
      <w:divsChild>
        <w:div w:id="1814102401">
          <w:marLeft w:val="0"/>
          <w:marRight w:val="0"/>
          <w:marTop w:val="0"/>
          <w:marBottom w:val="0"/>
          <w:divBdr>
            <w:top w:val="none" w:sz="0" w:space="0" w:color="auto"/>
            <w:left w:val="none" w:sz="0" w:space="0" w:color="auto"/>
            <w:bottom w:val="none" w:sz="0" w:space="0" w:color="auto"/>
            <w:right w:val="none" w:sz="0" w:space="0" w:color="auto"/>
          </w:divBdr>
          <w:divsChild>
            <w:div w:id="1284769558">
              <w:marLeft w:val="0"/>
              <w:marRight w:val="0"/>
              <w:marTop w:val="0"/>
              <w:marBottom w:val="0"/>
              <w:divBdr>
                <w:top w:val="single" w:sz="12" w:space="0" w:color="F89B1A"/>
                <w:left w:val="single" w:sz="6" w:space="0" w:color="C8D4DB"/>
                <w:bottom w:val="none" w:sz="0" w:space="0" w:color="auto"/>
                <w:right w:val="single" w:sz="6" w:space="0" w:color="C8D4DB"/>
              </w:divBdr>
              <w:divsChild>
                <w:div w:id="757673682">
                  <w:marLeft w:val="0"/>
                  <w:marRight w:val="0"/>
                  <w:marTop w:val="0"/>
                  <w:marBottom w:val="0"/>
                  <w:divBdr>
                    <w:top w:val="none" w:sz="0" w:space="0" w:color="auto"/>
                    <w:left w:val="none" w:sz="0" w:space="0" w:color="auto"/>
                    <w:bottom w:val="none" w:sz="0" w:space="0" w:color="auto"/>
                    <w:right w:val="none" w:sz="0" w:space="0" w:color="auto"/>
                  </w:divBdr>
                  <w:divsChild>
                    <w:div w:id="591281534">
                      <w:marLeft w:val="0"/>
                      <w:marRight w:val="0"/>
                      <w:marTop w:val="0"/>
                      <w:marBottom w:val="0"/>
                      <w:divBdr>
                        <w:top w:val="none" w:sz="0" w:space="0" w:color="auto"/>
                        <w:left w:val="none" w:sz="0" w:space="0" w:color="auto"/>
                        <w:bottom w:val="none" w:sz="0" w:space="0" w:color="auto"/>
                        <w:right w:val="none" w:sz="0" w:space="0" w:color="auto"/>
                      </w:divBdr>
                      <w:divsChild>
                        <w:div w:id="4481124">
                          <w:marLeft w:val="0"/>
                          <w:marRight w:val="225"/>
                          <w:marTop w:val="0"/>
                          <w:marBottom w:val="0"/>
                          <w:divBdr>
                            <w:top w:val="none" w:sz="0" w:space="0" w:color="auto"/>
                            <w:left w:val="none" w:sz="0" w:space="0" w:color="auto"/>
                            <w:bottom w:val="none" w:sz="0" w:space="0" w:color="auto"/>
                            <w:right w:val="none" w:sz="0" w:space="0" w:color="auto"/>
                          </w:divBdr>
                          <w:divsChild>
                            <w:div w:id="1622150181">
                              <w:marLeft w:val="0"/>
                              <w:marRight w:val="0"/>
                              <w:marTop w:val="0"/>
                              <w:marBottom w:val="0"/>
                              <w:divBdr>
                                <w:top w:val="none" w:sz="0" w:space="0" w:color="auto"/>
                                <w:left w:val="none" w:sz="0" w:space="0" w:color="auto"/>
                                <w:bottom w:val="none" w:sz="0" w:space="0" w:color="auto"/>
                                <w:right w:val="none" w:sz="0" w:space="0" w:color="auto"/>
                              </w:divBdr>
                              <w:divsChild>
                                <w:div w:id="242182307">
                                  <w:marLeft w:val="0"/>
                                  <w:marRight w:val="0"/>
                                  <w:marTop w:val="0"/>
                                  <w:marBottom w:val="0"/>
                                  <w:divBdr>
                                    <w:top w:val="none" w:sz="0" w:space="0" w:color="auto"/>
                                    <w:left w:val="none" w:sz="0" w:space="0" w:color="auto"/>
                                    <w:bottom w:val="none" w:sz="0" w:space="0" w:color="auto"/>
                                    <w:right w:val="none" w:sz="0" w:space="0" w:color="auto"/>
                                  </w:divBdr>
                                  <w:divsChild>
                                    <w:div w:id="4322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6524">
                          <w:marLeft w:val="0"/>
                          <w:marRight w:val="0"/>
                          <w:marTop w:val="150"/>
                          <w:marBottom w:val="0"/>
                          <w:divBdr>
                            <w:top w:val="none" w:sz="0" w:space="0" w:color="auto"/>
                            <w:left w:val="none" w:sz="0" w:space="0" w:color="auto"/>
                            <w:bottom w:val="none" w:sz="0" w:space="0" w:color="auto"/>
                            <w:right w:val="none" w:sz="0" w:space="0" w:color="auto"/>
                          </w:divBdr>
                          <w:divsChild>
                            <w:div w:id="149912682">
                              <w:marLeft w:val="0"/>
                              <w:marRight w:val="0"/>
                              <w:marTop w:val="0"/>
                              <w:marBottom w:val="0"/>
                              <w:divBdr>
                                <w:top w:val="single" w:sz="2" w:space="0" w:color="BDC8D5"/>
                                <w:left w:val="single" w:sz="2" w:space="0" w:color="BDC8D5"/>
                                <w:bottom w:val="single" w:sz="2" w:space="8" w:color="BDC8D5"/>
                                <w:right w:val="single" w:sz="2" w:space="0" w:color="BDC8D5"/>
                              </w:divBdr>
                              <w:divsChild>
                                <w:div w:id="1923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2023-02-11T04:10:00Z</dcterms:created>
  <dcterms:modified xsi:type="dcterms:W3CDTF">2023-02-11T04:10:00Z</dcterms:modified>
</cp:coreProperties>
</file>