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5" w:type="dxa"/>
        <w:jc w:val="center"/>
        <w:tblLook w:val="04A0" w:firstRow="1" w:lastRow="0" w:firstColumn="1" w:lastColumn="0" w:noHBand="0" w:noVBand="1"/>
      </w:tblPr>
      <w:tblGrid>
        <w:gridCol w:w="4142"/>
        <w:gridCol w:w="5353"/>
      </w:tblGrid>
      <w:tr w:rsidR="00CC26CE" w:rsidRPr="00CC26CE" w14:paraId="79641CC0" w14:textId="77777777" w:rsidTr="000214A8">
        <w:trPr>
          <w:jc w:val="center"/>
        </w:trPr>
        <w:tc>
          <w:tcPr>
            <w:tcW w:w="4142" w:type="dxa"/>
            <w:shd w:val="clear" w:color="auto" w:fill="auto"/>
          </w:tcPr>
          <w:p w14:paraId="2A01DCE0" w14:textId="3987259E" w:rsidR="005D7355" w:rsidRPr="00CC26CE" w:rsidRDefault="005D7355" w:rsidP="00900A5D">
            <w:pPr>
              <w:spacing w:line="240" w:lineRule="auto"/>
              <w:ind w:firstLine="0"/>
              <w:jc w:val="center"/>
              <w:rPr>
                <w:b/>
                <w:sz w:val="24"/>
                <w:szCs w:val="24"/>
              </w:rPr>
            </w:pPr>
            <w:bookmarkStart w:id="0" w:name="_GoBack"/>
            <w:bookmarkEnd w:id="0"/>
            <w:r w:rsidRPr="00CC26CE">
              <w:rPr>
                <w:b/>
                <w:sz w:val="24"/>
                <w:szCs w:val="24"/>
              </w:rPr>
              <w:t>QUỐC HỘI</w:t>
            </w:r>
          </w:p>
          <w:p w14:paraId="75190EAF" w14:textId="10BB02BB" w:rsidR="004C7F5A" w:rsidRDefault="004C7F5A" w:rsidP="00900A5D">
            <w:pPr>
              <w:spacing w:line="240" w:lineRule="auto"/>
              <w:ind w:firstLine="0"/>
              <w:jc w:val="center"/>
              <w:rPr>
                <w:spacing w:val="-6"/>
                <w:sz w:val="26"/>
                <w:szCs w:val="26"/>
              </w:rPr>
            </w:pPr>
            <w:r>
              <w:rPr>
                <w:b/>
                <w:noProof/>
              </w:rPr>
              <mc:AlternateContent>
                <mc:Choice Requires="wps">
                  <w:drawing>
                    <wp:anchor distT="4294967294" distB="4294967294" distL="114300" distR="114300" simplePos="0" relativeHeight="251660288" behindDoc="0" locked="0" layoutInCell="1" allowOverlap="1" wp14:anchorId="36547861" wp14:editId="3057035E">
                      <wp:simplePos x="0" y="0"/>
                      <wp:positionH relativeFrom="column">
                        <wp:posOffset>882964</wp:posOffset>
                      </wp:positionH>
                      <wp:positionV relativeFrom="paragraph">
                        <wp:posOffset>4436</wp:posOffset>
                      </wp:positionV>
                      <wp:extent cx="726510" cy="5715"/>
                      <wp:effectExtent l="0" t="0" r="35560"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510" cy="57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493BF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5pt,.35pt" to="12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"/>
                  </w:pict>
                </mc:Fallback>
              </mc:AlternateContent>
            </w:r>
          </w:p>
          <w:p w14:paraId="248348D4" w14:textId="3F32EF82" w:rsidR="005D7355" w:rsidRPr="00CC26CE" w:rsidRDefault="005D7355" w:rsidP="00900A5D">
            <w:pPr>
              <w:spacing w:line="240" w:lineRule="auto"/>
              <w:ind w:firstLine="0"/>
              <w:jc w:val="center"/>
              <w:rPr>
                <w:spacing w:val="-6"/>
                <w:sz w:val="26"/>
                <w:szCs w:val="26"/>
              </w:rPr>
            </w:pPr>
            <w:r w:rsidRPr="00CC26CE">
              <w:rPr>
                <w:spacing w:val="-6"/>
                <w:sz w:val="26"/>
                <w:szCs w:val="26"/>
              </w:rPr>
              <w:t xml:space="preserve">Nghị quyết số: </w:t>
            </w:r>
            <w:r w:rsidR="00C401F0">
              <w:rPr>
                <w:spacing w:val="-6"/>
                <w:sz w:val="26"/>
                <w:szCs w:val="26"/>
              </w:rPr>
              <w:t xml:space="preserve">   </w:t>
            </w:r>
            <w:r w:rsidRPr="00CC26CE">
              <w:rPr>
                <w:spacing w:val="-6"/>
                <w:sz w:val="26"/>
                <w:szCs w:val="26"/>
              </w:rPr>
              <w:t xml:space="preserve">     /</w:t>
            </w:r>
            <w:r w:rsidR="00253A58" w:rsidRPr="00CC26CE">
              <w:rPr>
                <w:spacing w:val="-6"/>
                <w:sz w:val="26"/>
                <w:szCs w:val="26"/>
              </w:rPr>
              <w:t>202</w:t>
            </w:r>
            <w:r w:rsidR="002C78AB">
              <w:rPr>
                <w:spacing w:val="-6"/>
                <w:sz w:val="26"/>
                <w:szCs w:val="26"/>
              </w:rPr>
              <w:t>3</w:t>
            </w:r>
            <w:r w:rsidRPr="00CC26CE">
              <w:rPr>
                <w:spacing w:val="-6"/>
                <w:sz w:val="26"/>
                <w:szCs w:val="26"/>
              </w:rPr>
              <w:t>/QH15</w:t>
            </w:r>
          </w:p>
        </w:tc>
        <w:tc>
          <w:tcPr>
            <w:tcW w:w="5353" w:type="dxa"/>
            <w:shd w:val="clear" w:color="auto" w:fill="auto"/>
          </w:tcPr>
          <w:p w14:paraId="5B8DC37B" w14:textId="77777777" w:rsidR="005D7355" w:rsidRPr="00CC26CE" w:rsidRDefault="005D7355" w:rsidP="00900A5D">
            <w:pPr>
              <w:spacing w:line="240" w:lineRule="auto"/>
              <w:ind w:firstLine="0"/>
              <w:jc w:val="center"/>
              <w:rPr>
                <w:b/>
                <w:sz w:val="24"/>
                <w:szCs w:val="24"/>
              </w:rPr>
            </w:pPr>
            <w:r w:rsidRPr="00CC26CE">
              <w:rPr>
                <w:b/>
                <w:sz w:val="24"/>
                <w:szCs w:val="24"/>
              </w:rPr>
              <w:t>CỘNG HÒA XÃ HỘI CHỦ NGHĨA VIỆT NAM</w:t>
            </w:r>
          </w:p>
          <w:p w14:paraId="6891370C" w14:textId="35D9E14D" w:rsidR="005D7355" w:rsidRPr="00CC26CE" w:rsidRDefault="00963CCC" w:rsidP="00900A5D">
            <w:pPr>
              <w:spacing w:line="240" w:lineRule="auto"/>
              <w:ind w:firstLine="0"/>
              <w:jc w:val="center"/>
              <w:rPr>
                <w:b/>
              </w:rPr>
            </w:pPr>
            <w:r>
              <w:rPr>
                <w:b/>
                <w:noProof/>
              </w:rPr>
              <mc:AlternateContent>
                <mc:Choice Requires="wps">
                  <w:drawing>
                    <wp:anchor distT="4294967295" distB="4294967295" distL="114300" distR="114300" simplePos="0" relativeHeight="251659264" behindDoc="0" locked="0" layoutInCell="1" allowOverlap="1" wp14:anchorId="619ADED4" wp14:editId="7A7000C1">
                      <wp:simplePos x="0" y="0"/>
                      <wp:positionH relativeFrom="column">
                        <wp:posOffset>728980</wp:posOffset>
                      </wp:positionH>
                      <wp:positionV relativeFrom="paragraph">
                        <wp:posOffset>248920</wp:posOffset>
                      </wp:positionV>
                      <wp:extent cx="1813560" cy="10160"/>
                      <wp:effectExtent l="0" t="0" r="3429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3560" cy="101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3918652" id="_x0000_t32" coordsize="21600,21600" o:spt="32" o:oned="t" path="m,l21600,21600e" filled="f">
                      <v:path arrowok="t" fillok="f" o:connecttype="none"/>
                      <o:lock v:ext="edit" shapetype="t"/>
                    </v:shapetype>
                    <v:shape id="Straight Arrow Connector 1" o:spid="_x0000_s1026" type="#_x0000_t32" style="position:absolute;margin-left:57.4pt;margin-top:19.6pt;width:142.8pt;height:.8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"/>
                  </w:pict>
                </mc:Fallback>
              </mc:AlternateContent>
            </w:r>
            <w:r w:rsidR="005D7355" w:rsidRPr="00CC26CE">
              <w:rPr>
                <w:b/>
              </w:rPr>
              <w:t>Độc lập - Tự do - Hạnh phúc</w:t>
            </w:r>
          </w:p>
          <w:p w14:paraId="25F9C0BF" w14:textId="77777777" w:rsidR="005D7355" w:rsidRPr="00CC26CE" w:rsidRDefault="005D7355" w:rsidP="00900A5D">
            <w:pPr>
              <w:spacing w:line="240" w:lineRule="auto"/>
              <w:ind w:firstLine="0"/>
              <w:jc w:val="center"/>
              <w:rPr>
                <w:b/>
              </w:rPr>
            </w:pPr>
          </w:p>
        </w:tc>
      </w:tr>
    </w:tbl>
    <w:p w14:paraId="10AFE8E4" w14:textId="7C903107" w:rsidR="005D7355" w:rsidRPr="00CC26CE" w:rsidRDefault="00963CCC" w:rsidP="00900A5D">
      <w:pPr>
        <w:spacing w:line="240" w:lineRule="auto"/>
        <w:ind w:firstLine="0"/>
        <w:rPr>
          <w:b/>
          <w:i/>
        </w:rPr>
      </w:pPr>
      <w:r>
        <w:rPr>
          <w:b/>
          <w:i/>
          <w:noProof/>
        </w:rPr>
        <mc:AlternateContent>
          <mc:Choice Requires="wps">
            <w:drawing>
              <wp:anchor distT="0" distB="0" distL="114300" distR="114300" simplePos="0" relativeHeight="251661312" behindDoc="0" locked="0" layoutInCell="1" allowOverlap="1" wp14:anchorId="0D6350B2" wp14:editId="0E65C845">
                <wp:simplePos x="0" y="0"/>
                <wp:positionH relativeFrom="margin">
                  <wp:posOffset>-134420</wp:posOffset>
                </wp:positionH>
                <wp:positionV relativeFrom="paragraph">
                  <wp:posOffset>505</wp:posOffset>
                </wp:positionV>
                <wp:extent cx="983293" cy="492370"/>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293" cy="492370"/>
                        </a:xfrm>
                        <a:prstGeom prst="rect">
                          <a:avLst/>
                        </a:prstGeom>
                        <a:solidFill>
                          <a:schemeClr val="lt1"/>
                        </a:solidFill>
                        <a:ln w="6350">
                          <a:solidFill>
                            <a:prstClr val="black"/>
                          </a:solidFill>
                        </a:ln>
                      </wps:spPr>
                      <wps:txbx>
                        <w:txbxContent>
                          <w:p w14:paraId="103C1061" w14:textId="51CC5E5F" w:rsidR="000214A8" w:rsidRPr="00CA2E98" w:rsidRDefault="00543608" w:rsidP="003C7172">
                            <w:pPr>
                              <w:ind w:firstLine="0"/>
                              <w:jc w:val="center"/>
                              <w:rPr>
                                <w:color w:val="FF0000"/>
                                <w:sz w:val="24"/>
                                <w:szCs w:val="24"/>
                              </w:rPr>
                            </w:pPr>
                            <w:r>
                              <w:rPr>
                                <w:color w:val="000000"/>
                                <w:sz w:val="27"/>
                                <w:szCs w:val="27"/>
                              </w:rPr>
                              <w:t xml:space="preserve">Dự thảo </w:t>
                            </w:r>
                            <w:r w:rsidR="00D22639">
                              <w:rPr>
                                <w:color w:val="000000"/>
                                <w:sz w:val="27"/>
                                <w:szCs w:val="27"/>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350B2" id="_x0000_t202" coordsize="21600,21600" o:spt="202" path="m,l,21600r21600,l21600,xe">
                <v:stroke joinstyle="miter"/>
                <v:path gradientshapeok="t" o:connecttype="rect"/>
              </v:shapetype>
              <v:shape id="Text Box 4" o:spid="_x0000_s1026" type="#_x0000_t202" style="position:absolute;left:0;text-align:left;margin-left:-10.6pt;margin-top:.05pt;width:77.4pt;height:3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" fillcolor="white [3201]" strokeweight=".5pt">
                <v:path arrowok="t"/>
                <v:textbox>
                  <w:txbxContent>
                    <w:p w14:paraId="103C1061" w14:textId="51CC5E5F" w:rsidR="000214A8" w:rsidRPr="00CA2E98" w:rsidRDefault="00543608" w:rsidP="003C7172">
                      <w:pPr>
                        <w:ind w:firstLine="0"/>
                        <w:jc w:val="center"/>
                        <w:rPr>
                          <w:color w:val="FF0000"/>
                          <w:sz w:val="24"/>
                          <w:szCs w:val="24"/>
                        </w:rPr>
                      </w:pPr>
                      <w:r>
                        <w:rPr>
                          <w:color w:val="000000"/>
                          <w:sz w:val="27"/>
                          <w:szCs w:val="27"/>
                        </w:rPr>
                        <w:t xml:space="preserve">Dự thảo </w:t>
                      </w:r>
                      <w:r w:rsidR="00D22639">
                        <w:rPr>
                          <w:color w:val="000000"/>
                          <w:sz w:val="27"/>
                          <w:szCs w:val="27"/>
                        </w:rPr>
                        <w:t>1</w:t>
                      </w:r>
                      <w:bookmarkStart w:id="1" w:name="_GoBack"/>
                      <w:bookmarkEnd w:id="1"/>
                    </w:p>
                  </w:txbxContent>
                </v:textbox>
                <w10:wrap anchorx="margin"/>
              </v:shape>
            </w:pict>
          </mc:Fallback>
        </mc:AlternateContent>
      </w:r>
    </w:p>
    <w:p w14:paraId="47861F1C" w14:textId="77777777" w:rsidR="005D7355" w:rsidRPr="00CC26CE" w:rsidRDefault="005D7355" w:rsidP="00900A5D">
      <w:pPr>
        <w:spacing w:line="240" w:lineRule="auto"/>
        <w:ind w:firstLine="0"/>
        <w:jc w:val="center"/>
        <w:rPr>
          <w:b/>
        </w:rPr>
      </w:pPr>
      <w:r w:rsidRPr="00CC26CE">
        <w:rPr>
          <w:b/>
        </w:rPr>
        <w:t>NGHỊ QUYẾT</w:t>
      </w:r>
    </w:p>
    <w:p w14:paraId="7F645C6B" w14:textId="77777777" w:rsidR="00666D06" w:rsidRPr="00CC26CE" w:rsidRDefault="00666D06" w:rsidP="00900A5D">
      <w:pPr>
        <w:spacing w:line="240" w:lineRule="auto"/>
        <w:ind w:firstLine="0"/>
        <w:jc w:val="center"/>
        <w:rPr>
          <w:b/>
        </w:rPr>
      </w:pPr>
      <w:r w:rsidRPr="00CC26CE">
        <w:rPr>
          <w:b/>
        </w:rPr>
        <w:t>Về t</w:t>
      </w:r>
      <w:r w:rsidR="005D7355" w:rsidRPr="00CC26CE">
        <w:rPr>
          <w:b/>
        </w:rPr>
        <w:t>hí điểm phổ cập giáo dục mầm non cho trẻ em mẫu giáo</w:t>
      </w:r>
    </w:p>
    <w:p w14:paraId="483A809D" w14:textId="77777777" w:rsidR="005D7355" w:rsidRPr="00CC26CE" w:rsidRDefault="00E57AF7" w:rsidP="00900A5D">
      <w:pPr>
        <w:spacing w:line="240" w:lineRule="auto"/>
        <w:ind w:firstLine="0"/>
        <w:jc w:val="center"/>
        <w:rPr>
          <w:b/>
        </w:rPr>
      </w:pPr>
      <w:r w:rsidRPr="00CC26CE">
        <w:rPr>
          <w:b/>
        </w:rPr>
        <w:t>tại một số tỉnh, thành phố</w:t>
      </w:r>
    </w:p>
    <w:p w14:paraId="2BB566C1" w14:textId="77777777" w:rsidR="007C3809" w:rsidRPr="007C3809" w:rsidRDefault="007C3809" w:rsidP="00900A5D">
      <w:pPr>
        <w:spacing w:line="240" w:lineRule="auto"/>
        <w:ind w:firstLine="0"/>
        <w:jc w:val="center"/>
        <w:rPr>
          <w:b/>
          <w:sz w:val="20"/>
        </w:rPr>
      </w:pPr>
    </w:p>
    <w:p w14:paraId="0764D7BD" w14:textId="6933D00E" w:rsidR="005D7355" w:rsidRDefault="005D7355" w:rsidP="00900A5D">
      <w:pPr>
        <w:spacing w:line="240" w:lineRule="auto"/>
        <w:ind w:firstLine="0"/>
        <w:jc w:val="center"/>
        <w:rPr>
          <w:b/>
        </w:rPr>
      </w:pPr>
      <w:r w:rsidRPr="00CC26CE">
        <w:rPr>
          <w:b/>
        </w:rPr>
        <w:t>QUỐC HỘI</w:t>
      </w:r>
    </w:p>
    <w:p w14:paraId="03C1900B" w14:textId="77777777" w:rsidR="007C3809" w:rsidRPr="007C3809" w:rsidRDefault="007C3809" w:rsidP="00900A5D">
      <w:pPr>
        <w:spacing w:line="240" w:lineRule="auto"/>
        <w:ind w:firstLine="0"/>
        <w:jc w:val="center"/>
        <w:rPr>
          <w:b/>
          <w:sz w:val="14"/>
        </w:rPr>
      </w:pPr>
    </w:p>
    <w:p w14:paraId="42B512D3" w14:textId="77777777" w:rsidR="005D7355" w:rsidRPr="00CC26CE" w:rsidRDefault="005D7355" w:rsidP="00900A5D">
      <w:pPr>
        <w:spacing w:line="240" w:lineRule="auto"/>
        <w:ind w:firstLine="709"/>
        <w:rPr>
          <w:i/>
          <w:szCs w:val="28"/>
        </w:rPr>
      </w:pPr>
      <w:r w:rsidRPr="00CC26CE">
        <w:rPr>
          <w:i/>
          <w:szCs w:val="28"/>
        </w:rPr>
        <w:t>Căn cứ Hiến pháp nước Cộng hòa xã hội chủ nghĩa Việt Nam;</w:t>
      </w:r>
    </w:p>
    <w:p w14:paraId="37A00617" w14:textId="77777777" w:rsidR="005D7355" w:rsidRPr="00CC26CE" w:rsidRDefault="005D7355" w:rsidP="00900A5D">
      <w:pPr>
        <w:spacing w:line="240" w:lineRule="auto"/>
        <w:ind w:firstLine="709"/>
        <w:rPr>
          <w:i/>
          <w:szCs w:val="28"/>
        </w:rPr>
      </w:pPr>
      <w:r w:rsidRPr="00CC26CE">
        <w:rPr>
          <w:i/>
          <w:szCs w:val="28"/>
        </w:rPr>
        <w:t>Căn cứ Luật Tổ chức Quốc hội số 57/2014/QH13 đã được sửa đổi, bổ sung một số điều theo Luật số 65/2020/QH14;</w:t>
      </w:r>
    </w:p>
    <w:p w14:paraId="1116673E" w14:textId="77777777" w:rsidR="005D7355" w:rsidRPr="00CC26CE" w:rsidRDefault="005D7355" w:rsidP="00900A5D">
      <w:pPr>
        <w:spacing w:line="240" w:lineRule="auto"/>
        <w:ind w:firstLine="709"/>
        <w:rPr>
          <w:i/>
          <w:szCs w:val="28"/>
        </w:rPr>
      </w:pPr>
      <w:r w:rsidRPr="00CC26CE">
        <w:rPr>
          <w:i/>
          <w:szCs w:val="28"/>
        </w:rPr>
        <w:t>Căn cứ Luật Tổ chức chính quyền địa phương số 77/2015/QH13 đã được sửa đổi, bổ sung một số điều theo Luật số 47/2019/QH14;</w:t>
      </w:r>
    </w:p>
    <w:p w14:paraId="2383628F" w14:textId="77777777" w:rsidR="005D7355" w:rsidRPr="00CC26CE" w:rsidRDefault="005D7355" w:rsidP="00900A5D">
      <w:pPr>
        <w:spacing w:line="240" w:lineRule="auto"/>
        <w:ind w:firstLine="709"/>
        <w:rPr>
          <w:i/>
          <w:szCs w:val="28"/>
        </w:rPr>
      </w:pPr>
      <w:r w:rsidRPr="00CC26CE">
        <w:rPr>
          <w:i/>
          <w:szCs w:val="28"/>
        </w:rPr>
        <w:t>Căn cứ Luật Ban hành văn bản quy phạm pháp luật số 80/2015/QH13 đã được sửa đổi, bổ sung một số điều theo Luật số 63/2020/QH14</w:t>
      </w:r>
      <w:r w:rsidR="00EA54EE" w:rsidRPr="00CC26CE">
        <w:rPr>
          <w:i/>
          <w:szCs w:val="28"/>
        </w:rPr>
        <w:t>,</w:t>
      </w:r>
    </w:p>
    <w:p w14:paraId="0268C1CC" w14:textId="0373857D" w:rsidR="007103B8" w:rsidRPr="00CC26CE" w:rsidRDefault="007103B8" w:rsidP="00900A5D">
      <w:pPr>
        <w:spacing w:line="240" w:lineRule="auto"/>
        <w:ind w:firstLine="709"/>
        <w:rPr>
          <w:i/>
          <w:szCs w:val="28"/>
        </w:rPr>
      </w:pPr>
      <w:r w:rsidRPr="00CC26CE">
        <w:rPr>
          <w:i/>
          <w:iCs/>
          <w:szCs w:val="28"/>
        </w:rPr>
        <w:t xml:space="preserve">Trên cơ sở xem xét </w:t>
      </w:r>
      <w:r w:rsidR="00666D06" w:rsidRPr="00CC26CE">
        <w:rPr>
          <w:i/>
          <w:iCs/>
          <w:szCs w:val="28"/>
        </w:rPr>
        <w:t>Tờ trình</w:t>
      </w:r>
      <w:r w:rsidRPr="00CC26CE">
        <w:rPr>
          <w:i/>
          <w:iCs/>
          <w:szCs w:val="28"/>
        </w:rPr>
        <w:t xml:space="preserve"> số</w:t>
      </w:r>
      <w:r w:rsidR="002C709A">
        <w:rPr>
          <w:i/>
          <w:iCs/>
          <w:szCs w:val="28"/>
        </w:rPr>
        <w:t xml:space="preserve">        </w:t>
      </w:r>
      <w:r w:rsidRPr="00CC26CE">
        <w:rPr>
          <w:i/>
          <w:iCs/>
          <w:szCs w:val="28"/>
        </w:rPr>
        <w:t xml:space="preserve"> /</w:t>
      </w:r>
      <w:r w:rsidR="00666D06" w:rsidRPr="00CC26CE">
        <w:rPr>
          <w:i/>
          <w:iCs/>
          <w:szCs w:val="28"/>
        </w:rPr>
        <w:t>TTr</w:t>
      </w:r>
      <w:r w:rsidRPr="00CC26CE">
        <w:rPr>
          <w:i/>
          <w:iCs/>
          <w:szCs w:val="28"/>
        </w:rPr>
        <w:t xml:space="preserve">-CP ngày </w:t>
      </w:r>
      <w:r w:rsidR="00666D06" w:rsidRPr="00CC26CE">
        <w:rPr>
          <w:i/>
          <w:iCs/>
          <w:szCs w:val="28"/>
        </w:rPr>
        <w:t xml:space="preserve"> </w:t>
      </w:r>
      <w:r w:rsidR="002C709A">
        <w:rPr>
          <w:i/>
          <w:iCs/>
          <w:szCs w:val="28"/>
        </w:rPr>
        <w:t xml:space="preserve">  </w:t>
      </w:r>
      <w:r w:rsidR="00666D06" w:rsidRPr="00CC26CE">
        <w:rPr>
          <w:i/>
          <w:iCs/>
          <w:szCs w:val="28"/>
        </w:rPr>
        <w:t xml:space="preserve">   tháng </w:t>
      </w:r>
      <w:r w:rsidR="002C709A">
        <w:rPr>
          <w:i/>
          <w:iCs/>
          <w:szCs w:val="28"/>
        </w:rPr>
        <w:t xml:space="preserve">   </w:t>
      </w:r>
      <w:r w:rsidR="00666D06" w:rsidRPr="00CC26CE">
        <w:rPr>
          <w:i/>
          <w:iCs/>
          <w:szCs w:val="28"/>
        </w:rPr>
        <w:t xml:space="preserve">  năm </w:t>
      </w:r>
      <w:r w:rsidRPr="00CC26CE">
        <w:rPr>
          <w:i/>
          <w:iCs/>
          <w:szCs w:val="28"/>
        </w:rPr>
        <w:t>202</w:t>
      </w:r>
      <w:r w:rsidR="00666D06" w:rsidRPr="00CC26CE">
        <w:rPr>
          <w:i/>
          <w:iCs/>
          <w:szCs w:val="28"/>
        </w:rPr>
        <w:t>3</w:t>
      </w:r>
      <w:r w:rsidRPr="00CC26CE">
        <w:rPr>
          <w:i/>
          <w:iCs/>
          <w:szCs w:val="28"/>
        </w:rPr>
        <w:t xml:space="preserve"> của Chính phủ; Báo cáo thẩm tra số</w:t>
      </w:r>
      <w:r w:rsidR="002C709A">
        <w:rPr>
          <w:i/>
          <w:iCs/>
          <w:szCs w:val="28"/>
        </w:rPr>
        <w:t xml:space="preserve">       </w:t>
      </w:r>
      <w:r w:rsidRPr="00CC26CE">
        <w:rPr>
          <w:i/>
          <w:iCs/>
          <w:szCs w:val="28"/>
        </w:rPr>
        <w:t xml:space="preserve"> /BC-UB</w:t>
      </w:r>
      <w:r w:rsidR="00666D06" w:rsidRPr="00CC26CE">
        <w:rPr>
          <w:i/>
          <w:iCs/>
          <w:szCs w:val="28"/>
        </w:rPr>
        <w:t>VHGDQH</w:t>
      </w:r>
      <w:r w:rsidRPr="00CC26CE">
        <w:rPr>
          <w:i/>
          <w:iCs/>
          <w:szCs w:val="28"/>
        </w:rPr>
        <w:t xml:space="preserve"> ngày </w:t>
      </w:r>
      <w:r w:rsidR="002C709A">
        <w:rPr>
          <w:i/>
          <w:iCs/>
          <w:szCs w:val="28"/>
        </w:rPr>
        <w:t xml:space="preserve">    </w:t>
      </w:r>
      <w:r w:rsidRPr="00CC26CE">
        <w:rPr>
          <w:i/>
          <w:iCs/>
          <w:szCs w:val="28"/>
        </w:rPr>
        <w:t xml:space="preserve"> tháng </w:t>
      </w:r>
      <w:r w:rsidR="002C709A">
        <w:rPr>
          <w:i/>
          <w:iCs/>
          <w:szCs w:val="28"/>
        </w:rPr>
        <w:t xml:space="preserve">     </w:t>
      </w:r>
      <w:r w:rsidRPr="00CC26CE">
        <w:rPr>
          <w:i/>
          <w:iCs/>
          <w:szCs w:val="28"/>
        </w:rPr>
        <w:t xml:space="preserve"> năm 202</w:t>
      </w:r>
      <w:r w:rsidR="00666D06" w:rsidRPr="00CC26CE">
        <w:rPr>
          <w:i/>
          <w:iCs/>
          <w:szCs w:val="28"/>
        </w:rPr>
        <w:t>3</w:t>
      </w:r>
      <w:r w:rsidRPr="00CC26CE">
        <w:rPr>
          <w:i/>
          <w:iCs/>
          <w:szCs w:val="28"/>
        </w:rPr>
        <w:t xml:space="preserve"> của Ủy ban </w:t>
      </w:r>
      <w:r w:rsidR="00666D06" w:rsidRPr="00CC26CE">
        <w:rPr>
          <w:i/>
          <w:iCs/>
          <w:szCs w:val="28"/>
        </w:rPr>
        <w:t>Văn hóa Giáo dục</w:t>
      </w:r>
      <w:r w:rsidRPr="00CC26CE">
        <w:rPr>
          <w:i/>
          <w:iCs/>
          <w:szCs w:val="28"/>
        </w:rPr>
        <w:t xml:space="preserve">; Báo cáo tiếp thu, giải trình số </w:t>
      </w:r>
      <w:r w:rsidR="002C709A">
        <w:rPr>
          <w:i/>
          <w:iCs/>
          <w:szCs w:val="28"/>
        </w:rPr>
        <w:t xml:space="preserve">      </w:t>
      </w:r>
      <w:r w:rsidRPr="00CC26CE">
        <w:rPr>
          <w:i/>
          <w:iCs/>
          <w:szCs w:val="28"/>
        </w:rPr>
        <w:t xml:space="preserve">/BC-UBTVQH15 ngày </w:t>
      </w:r>
      <w:r w:rsidR="002C709A">
        <w:rPr>
          <w:i/>
          <w:iCs/>
          <w:szCs w:val="28"/>
        </w:rPr>
        <w:t xml:space="preserve">     </w:t>
      </w:r>
      <w:r w:rsidRPr="00CC26CE">
        <w:rPr>
          <w:i/>
          <w:iCs/>
          <w:szCs w:val="28"/>
        </w:rPr>
        <w:t xml:space="preserve"> tháng  </w:t>
      </w:r>
      <w:r w:rsidR="002C709A">
        <w:rPr>
          <w:i/>
          <w:iCs/>
          <w:szCs w:val="28"/>
        </w:rPr>
        <w:t xml:space="preserve">    </w:t>
      </w:r>
      <w:r w:rsidRPr="00CC26CE">
        <w:rPr>
          <w:i/>
          <w:iCs/>
          <w:szCs w:val="28"/>
        </w:rPr>
        <w:t>năm 202</w:t>
      </w:r>
      <w:r w:rsidR="00666D06" w:rsidRPr="00CC26CE">
        <w:rPr>
          <w:i/>
          <w:iCs/>
          <w:szCs w:val="28"/>
        </w:rPr>
        <w:t>3</w:t>
      </w:r>
      <w:r w:rsidRPr="00CC26CE">
        <w:rPr>
          <w:i/>
          <w:iCs/>
          <w:szCs w:val="28"/>
        </w:rPr>
        <w:t xml:space="preserve"> của Ủy ban Thường vụ Quốc hội và ý kiến đại biểu Quốc hội</w:t>
      </w:r>
      <w:r w:rsidR="00666D06" w:rsidRPr="00CC26CE">
        <w:rPr>
          <w:i/>
          <w:iCs/>
          <w:szCs w:val="28"/>
        </w:rPr>
        <w:t>;</w:t>
      </w:r>
    </w:p>
    <w:p w14:paraId="63D3C4F5" w14:textId="0E41A65D" w:rsidR="003C7172" w:rsidRPr="00CC26CE" w:rsidRDefault="005D7355" w:rsidP="00A55FF8">
      <w:pPr>
        <w:spacing w:after="240" w:line="240" w:lineRule="auto"/>
        <w:ind w:firstLine="0"/>
        <w:jc w:val="center"/>
        <w:rPr>
          <w:b/>
          <w:szCs w:val="28"/>
        </w:rPr>
      </w:pPr>
      <w:r w:rsidRPr="00CC26CE">
        <w:rPr>
          <w:b/>
          <w:szCs w:val="28"/>
        </w:rPr>
        <w:t>QUYẾT NGHỊ:</w:t>
      </w:r>
    </w:p>
    <w:p w14:paraId="2F2AD87E" w14:textId="5ACC5A45" w:rsidR="00DF021A" w:rsidRDefault="005D7355" w:rsidP="00A55FF8">
      <w:pPr>
        <w:spacing w:line="340" w:lineRule="atLeast"/>
        <w:ind w:firstLine="709"/>
        <w:rPr>
          <w:b/>
          <w:spacing w:val="-6"/>
          <w:szCs w:val="28"/>
        </w:rPr>
      </w:pPr>
      <w:bookmarkStart w:id="1" w:name="_Hlk535676868"/>
      <w:r w:rsidRPr="00CC26CE">
        <w:rPr>
          <w:b/>
          <w:spacing w:val="-6"/>
          <w:szCs w:val="28"/>
        </w:rPr>
        <w:t xml:space="preserve">Điều 1. </w:t>
      </w:r>
      <w:r w:rsidR="00DF021A">
        <w:rPr>
          <w:b/>
          <w:spacing w:val="-6"/>
          <w:szCs w:val="28"/>
        </w:rPr>
        <w:t>Phạm vi điều chỉnh</w:t>
      </w:r>
    </w:p>
    <w:p w14:paraId="5703B925" w14:textId="45E87E08" w:rsidR="00393B29" w:rsidRDefault="00DF021A" w:rsidP="00A55FF8">
      <w:pPr>
        <w:spacing w:line="340" w:lineRule="atLeast"/>
        <w:ind w:firstLine="709"/>
        <w:rPr>
          <w:rFonts w:eastAsia="Times New Roman"/>
          <w:szCs w:val="28"/>
        </w:rPr>
      </w:pPr>
      <w:r w:rsidRPr="00627DD0">
        <w:rPr>
          <w:rFonts w:eastAsia="Times New Roman"/>
          <w:szCs w:val="28"/>
        </w:rPr>
        <w:t xml:space="preserve">Nghị quyết này quy định thí điểm một số cơ chế, chính sách đặc thù </w:t>
      </w:r>
      <w:r w:rsidR="00F10F2F" w:rsidRPr="00627DD0">
        <w:rPr>
          <w:rFonts w:eastAsia="Times New Roman"/>
          <w:szCs w:val="28"/>
        </w:rPr>
        <w:t xml:space="preserve">về đầu tư cơ sở vật chất trường lớp; ưu đãi thu hút đầu tư; ưu đãi, thu hút đối với giáo viên, </w:t>
      </w:r>
      <w:r w:rsidR="00393B29" w:rsidRPr="00627DD0">
        <w:rPr>
          <w:rFonts w:eastAsia="Times New Roman"/>
          <w:szCs w:val="28"/>
        </w:rPr>
        <w:t>trẻ em mẫu giáo học tại các cơ sở giáo dục mầm non trong độ tuổi 3-4; 4-5 tuổi</w:t>
      </w:r>
      <w:r w:rsidR="00393B29">
        <w:rPr>
          <w:rFonts w:eastAsia="Times New Roman"/>
          <w:szCs w:val="28"/>
        </w:rPr>
        <w:t xml:space="preserve"> tại 15 tỉnh, thành phố trực thuộc trung ương thực hiện thí điểm giáo dục mầm non.</w:t>
      </w:r>
    </w:p>
    <w:p w14:paraId="0BC61A07" w14:textId="22D3FFE2" w:rsidR="00DF021A" w:rsidRDefault="00DF021A" w:rsidP="00A55FF8">
      <w:pPr>
        <w:spacing w:line="340" w:lineRule="atLeast"/>
        <w:ind w:firstLine="709"/>
        <w:rPr>
          <w:b/>
          <w:spacing w:val="-6"/>
          <w:szCs w:val="28"/>
        </w:rPr>
      </w:pPr>
      <w:r>
        <w:rPr>
          <w:b/>
          <w:spacing w:val="-6"/>
          <w:szCs w:val="28"/>
        </w:rPr>
        <w:t>Điều 2. Đối tượng áp dụng</w:t>
      </w:r>
    </w:p>
    <w:p w14:paraId="33697026" w14:textId="2C81D3DD" w:rsidR="00995CC2" w:rsidRPr="00995CC2" w:rsidRDefault="00393B29" w:rsidP="00995CC2">
      <w:pPr>
        <w:pStyle w:val="NormalWeb"/>
        <w:shd w:val="clear" w:color="auto" w:fill="FFFFFF"/>
        <w:spacing w:before="120" w:beforeAutospacing="0" w:after="120" w:afterAutospacing="0" w:line="276" w:lineRule="auto"/>
        <w:ind w:firstLine="720"/>
        <w:jc w:val="both"/>
        <w:rPr>
          <w:sz w:val="28"/>
          <w:szCs w:val="28"/>
        </w:rPr>
      </w:pPr>
      <w:r w:rsidRPr="00995CC2">
        <w:rPr>
          <w:spacing w:val="-6"/>
          <w:sz w:val="28"/>
          <w:szCs w:val="28"/>
        </w:rPr>
        <w:t xml:space="preserve">1. </w:t>
      </w:r>
      <w:r w:rsidR="00DF021A" w:rsidRPr="00995CC2">
        <w:rPr>
          <w:spacing w:val="-6"/>
          <w:sz w:val="28"/>
          <w:szCs w:val="28"/>
        </w:rPr>
        <w:t xml:space="preserve">Cơ quan nhà nước; tổ chức chính trị; tổ chức </w:t>
      </w:r>
      <w:r w:rsidR="00D73B95" w:rsidRPr="00995CC2">
        <w:rPr>
          <w:spacing w:val="-6"/>
          <w:sz w:val="28"/>
          <w:szCs w:val="28"/>
        </w:rPr>
        <w:t>chính trị, xã hội</w:t>
      </w:r>
      <w:r w:rsidRPr="00995CC2">
        <w:rPr>
          <w:spacing w:val="-6"/>
          <w:sz w:val="28"/>
          <w:szCs w:val="28"/>
        </w:rPr>
        <w:t>; tổ chức chính trị xã hội-nghề nghiệp; tổ chức xã hội-nghề nghiệp, các tổ chức, cá nhân có liên quan tại 15 tỉnh, thành phố trực thuộc trung ương gồm</w:t>
      </w:r>
      <w:r w:rsidRPr="00995CC2">
        <w:rPr>
          <w:sz w:val="28"/>
          <w:szCs w:val="28"/>
        </w:rPr>
        <w:t xml:space="preserve">: </w:t>
      </w:r>
      <w:r w:rsidR="00995CC2" w:rsidRPr="00995CC2">
        <w:rPr>
          <w:sz w:val="28"/>
          <w:szCs w:val="28"/>
        </w:rPr>
        <w:t xml:space="preserve">Vĩnh Phúc, Bắc Ninh, </w:t>
      </w:r>
      <w:r w:rsidR="00D22639">
        <w:rPr>
          <w:sz w:val="28"/>
          <w:szCs w:val="28"/>
        </w:rPr>
        <w:t>Ninh Bình</w:t>
      </w:r>
      <w:r w:rsidR="00995CC2" w:rsidRPr="00995CC2">
        <w:rPr>
          <w:sz w:val="28"/>
          <w:szCs w:val="28"/>
        </w:rPr>
        <w:t xml:space="preserve">, Hải Phòng, Lào Cai, Điện Biên, Sơn La, Hòa Bình, Đà Nẵng, Kon Tum, </w:t>
      </w:r>
      <w:r w:rsidR="006B71AC">
        <w:rPr>
          <w:sz w:val="28"/>
          <w:szCs w:val="28"/>
        </w:rPr>
        <w:t>Sóc Trăng</w:t>
      </w:r>
      <w:r w:rsidR="00995CC2" w:rsidRPr="00995CC2">
        <w:rPr>
          <w:sz w:val="28"/>
          <w:szCs w:val="28"/>
        </w:rPr>
        <w:t>, Bà Rịa - Vũng Tàu, TP. Hồ Chí Minh, Long An, Bạc Liêu.</w:t>
      </w:r>
    </w:p>
    <w:p w14:paraId="3774128E" w14:textId="6740938D" w:rsidR="00D73B95" w:rsidRDefault="00D73B95" w:rsidP="00A55FF8">
      <w:pPr>
        <w:spacing w:line="340" w:lineRule="atLeast"/>
        <w:ind w:firstLine="709"/>
        <w:rPr>
          <w:spacing w:val="-6"/>
          <w:szCs w:val="28"/>
        </w:rPr>
      </w:pPr>
      <w:r>
        <w:rPr>
          <w:spacing w:val="-6"/>
          <w:szCs w:val="28"/>
        </w:rPr>
        <w:t>2.</w:t>
      </w:r>
      <w:r w:rsidR="00393B29">
        <w:rPr>
          <w:spacing w:val="-6"/>
          <w:szCs w:val="28"/>
        </w:rPr>
        <w:t xml:space="preserve"> Trẻ em trong độ tuổi phổ cập giáo dục mầm non từ 3 - 4 tuổi, 4 - 5 tuổi. </w:t>
      </w:r>
    </w:p>
    <w:p w14:paraId="6B28B052" w14:textId="258BD31A" w:rsidR="00D73B95" w:rsidRPr="005A72F0" w:rsidRDefault="00D73B95" w:rsidP="00A55FF8">
      <w:pPr>
        <w:spacing w:line="340" w:lineRule="atLeast"/>
        <w:ind w:firstLine="709"/>
        <w:rPr>
          <w:b/>
          <w:spacing w:val="-6"/>
          <w:szCs w:val="28"/>
          <w:highlight w:val="yellow"/>
        </w:rPr>
      </w:pPr>
      <w:r w:rsidRPr="005A72F0">
        <w:rPr>
          <w:b/>
          <w:spacing w:val="-6"/>
          <w:szCs w:val="28"/>
        </w:rPr>
        <w:lastRenderedPageBreak/>
        <w:t>Điề</w:t>
      </w:r>
      <w:r w:rsidR="00393B29">
        <w:rPr>
          <w:b/>
          <w:spacing w:val="-6"/>
          <w:szCs w:val="28"/>
        </w:rPr>
        <w:t>u 3</w:t>
      </w:r>
      <w:r w:rsidR="0080230C" w:rsidRPr="005A72F0">
        <w:rPr>
          <w:b/>
          <w:spacing w:val="-6"/>
          <w:szCs w:val="28"/>
        </w:rPr>
        <w:t xml:space="preserve">. </w:t>
      </w:r>
      <w:r w:rsidR="00976B87" w:rsidRPr="00864FD3">
        <w:rPr>
          <w:b/>
          <w:spacing w:val="-6"/>
          <w:szCs w:val="28"/>
        </w:rPr>
        <w:t>Đ</w:t>
      </w:r>
      <w:r w:rsidR="0080230C" w:rsidRPr="00864FD3">
        <w:rPr>
          <w:b/>
          <w:spacing w:val="-6"/>
          <w:szCs w:val="28"/>
        </w:rPr>
        <w:t>ầu tư tài chính, ngân sách nhà nước</w:t>
      </w:r>
      <w:r w:rsidR="00393B29" w:rsidRPr="00864FD3">
        <w:rPr>
          <w:b/>
          <w:spacing w:val="-6"/>
          <w:szCs w:val="28"/>
        </w:rPr>
        <w:t xml:space="preserve"> cho cơ sở thực hiện phổ cập giáo dục mầm non</w:t>
      </w:r>
    </w:p>
    <w:p w14:paraId="31BBE29C" w14:textId="77777777" w:rsidR="00E84D90" w:rsidRPr="00E501EE" w:rsidRDefault="001257C5" w:rsidP="00E84D90">
      <w:pPr>
        <w:spacing w:line="340" w:lineRule="atLeast"/>
        <w:ind w:firstLine="709"/>
        <w:rPr>
          <w:spacing w:val="-6"/>
          <w:szCs w:val="28"/>
        </w:rPr>
      </w:pPr>
      <w:r w:rsidRPr="00E501EE">
        <w:rPr>
          <w:spacing w:val="-6"/>
          <w:szCs w:val="28"/>
        </w:rPr>
        <w:t xml:space="preserve">Các đơn vị thực hiện phổ cập giáo dục mầm non cho trẻ em mẫu giáo được phân bổ thêm </w:t>
      </w:r>
      <w:r w:rsidR="00210E1B" w:rsidRPr="00E501EE">
        <w:rPr>
          <w:spacing w:val="-6"/>
          <w:szCs w:val="28"/>
        </w:rPr>
        <w:t xml:space="preserve">tối thiểu </w:t>
      </w:r>
      <w:r w:rsidRPr="00E501EE">
        <w:rPr>
          <w:spacing w:val="-6"/>
          <w:szCs w:val="28"/>
        </w:rPr>
        <w:t xml:space="preserve">45% số chi tính theo định mức dân số đối với trẻ em mẫu giáo theo các nguyên tắc, tiêu chí và định mức phân bổ dự toán năm 2024 và trong thời gian thực hiện Nghị quyết này. Số chi tăng thêm được bố trí cho nhiệm vụ thực hiện phổ cập giáo dục mầm non, chăm sóc, giáo dục trẻ mẫu giáo trong các cơ sở giáo dục mầm non. </w:t>
      </w:r>
    </w:p>
    <w:p w14:paraId="035CA840" w14:textId="45AA8EE2" w:rsidR="001257C5" w:rsidRPr="00E501EE" w:rsidRDefault="001257C5" w:rsidP="00E84D90">
      <w:pPr>
        <w:spacing w:line="340" w:lineRule="atLeast"/>
        <w:ind w:firstLine="709"/>
        <w:rPr>
          <w:spacing w:val="-6"/>
          <w:szCs w:val="28"/>
        </w:rPr>
      </w:pPr>
      <w:r w:rsidRPr="00E501EE">
        <w:rPr>
          <w:spacing w:val="-6"/>
          <w:szCs w:val="28"/>
        </w:rPr>
        <w:t>Hội đồng nhân dân các tỉnh, thành phố</w:t>
      </w:r>
      <w:r w:rsidR="00E84D90" w:rsidRPr="00E501EE">
        <w:rPr>
          <w:spacing w:val="-6"/>
          <w:szCs w:val="28"/>
        </w:rPr>
        <w:t xml:space="preserve"> xem xét, quyết định</w:t>
      </w:r>
      <w:r w:rsidRPr="00E501EE">
        <w:rPr>
          <w:spacing w:val="-6"/>
          <w:szCs w:val="28"/>
        </w:rPr>
        <w:t xml:space="preserve"> phân cấp nguồn thu, nhiệm vụ chi phù hợp để các cơ sở giáo dục mầm non được hưởng và sử dụng toàn bộ phần vốn được tăng </w:t>
      </w:r>
      <w:r w:rsidR="00E84D90" w:rsidRPr="00E501EE">
        <w:rPr>
          <w:spacing w:val="-6"/>
          <w:szCs w:val="28"/>
        </w:rPr>
        <w:t>th</w:t>
      </w:r>
      <w:r w:rsidR="0060184C" w:rsidRPr="00E501EE">
        <w:rPr>
          <w:spacing w:val="-6"/>
          <w:szCs w:val="28"/>
        </w:rPr>
        <w:t>ê</w:t>
      </w:r>
      <w:r w:rsidR="00E84D90" w:rsidRPr="00E501EE">
        <w:rPr>
          <w:spacing w:val="-6"/>
          <w:szCs w:val="28"/>
        </w:rPr>
        <w:t>m theo đề nghị của Uỷ ban nhân dân cấp tỉnh, đảm bảo phù hợp với khả năng ngân sách của địa phương</w:t>
      </w:r>
      <w:r w:rsidRPr="00E501EE">
        <w:rPr>
          <w:spacing w:val="-6"/>
          <w:szCs w:val="28"/>
        </w:rPr>
        <w:t>.</w:t>
      </w:r>
    </w:p>
    <w:p w14:paraId="27BD970D" w14:textId="77777777" w:rsidR="00393B29" w:rsidRPr="003A015D" w:rsidRDefault="00393B29" w:rsidP="00A55FF8">
      <w:pPr>
        <w:spacing w:line="340" w:lineRule="atLeast"/>
        <w:ind w:firstLine="709"/>
        <w:rPr>
          <w:b/>
          <w:spacing w:val="-6"/>
          <w:szCs w:val="28"/>
        </w:rPr>
      </w:pPr>
      <w:r w:rsidRPr="00900A5D">
        <w:rPr>
          <w:b/>
          <w:spacing w:val="-6"/>
          <w:szCs w:val="28"/>
        </w:rPr>
        <w:t xml:space="preserve">Điều </w:t>
      </w:r>
      <w:r>
        <w:rPr>
          <w:b/>
          <w:spacing w:val="-6"/>
          <w:szCs w:val="28"/>
        </w:rPr>
        <w:t>4</w:t>
      </w:r>
      <w:r w:rsidRPr="00900A5D">
        <w:rPr>
          <w:b/>
          <w:spacing w:val="-6"/>
          <w:szCs w:val="28"/>
        </w:rPr>
        <w:t xml:space="preserve">. </w:t>
      </w:r>
      <w:r>
        <w:rPr>
          <w:b/>
          <w:spacing w:val="-6"/>
          <w:szCs w:val="28"/>
        </w:rPr>
        <w:t xml:space="preserve">Các cơ chế, chính sách ưu đãi về đất đai, ưu đãi về thuế để </w:t>
      </w:r>
      <w:r w:rsidRPr="003A015D">
        <w:rPr>
          <w:b/>
          <w:spacing w:val="-6"/>
          <w:szCs w:val="28"/>
        </w:rPr>
        <w:t>thực hiện phổ cập giáo dục mầm non</w:t>
      </w:r>
    </w:p>
    <w:p w14:paraId="1374EEBC" w14:textId="2FE686B2" w:rsidR="00393B29" w:rsidRDefault="00393B29" w:rsidP="00A55FF8">
      <w:pPr>
        <w:spacing w:line="340" w:lineRule="atLeast"/>
        <w:ind w:firstLine="709"/>
        <w:rPr>
          <w:spacing w:val="-6"/>
          <w:szCs w:val="28"/>
        </w:rPr>
      </w:pPr>
      <w:r>
        <w:rPr>
          <w:spacing w:val="-6"/>
          <w:szCs w:val="28"/>
        </w:rPr>
        <w:t>1. Ủy ban nhân dân cấp tỉnh chỉ đạo bố trí đủ quỹ đất để xây dựng trường, lớp mầm non, các công trình, tiện ích phụ trợ đáp ứng nhu cầu phổ cập giáo dục mẫu giáo cho trẻ em trên địa bàn.</w:t>
      </w:r>
    </w:p>
    <w:p w14:paraId="07F74F2F" w14:textId="6B929411" w:rsidR="00393B29" w:rsidRDefault="00393B29" w:rsidP="00A55FF8">
      <w:pPr>
        <w:spacing w:line="340" w:lineRule="atLeast"/>
        <w:ind w:firstLine="709"/>
        <w:rPr>
          <w:spacing w:val="-6"/>
          <w:szCs w:val="28"/>
        </w:rPr>
      </w:pPr>
      <w:r>
        <w:rPr>
          <w:spacing w:val="-6"/>
          <w:szCs w:val="28"/>
        </w:rPr>
        <w:t xml:space="preserve">2. </w:t>
      </w:r>
      <w:r w:rsidR="00E84D90">
        <w:rPr>
          <w:spacing w:val="-6"/>
          <w:szCs w:val="28"/>
        </w:rPr>
        <w:t>Các</w:t>
      </w:r>
      <w:r w:rsidR="00E84D90">
        <w:rPr>
          <w:spacing w:val="-6"/>
          <w:szCs w:val="28"/>
          <w:lang w:val="vi-VN"/>
        </w:rPr>
        <w:t xml:space="preserve"> cơ sở giáo dục mầm non dân lập</w:t>
      </w:r>
      <w:r w:rsidR="00504806">
        <w:rPr>
          <w:spacing w:val="-6"/>
          <w:szCs w:val="28"/>
        </w:rPr>
        <w:t>, tư thục</w:t>
      </w:r>
      <w:r w:rsidR="00E84D90">
        <w:rPr>
          <w:spacing w:val="-6"/>
          <w:szCs w:val="28"/>
          <w:lang w:val="vi-VN"/>
        </w:rPr>
        <w:t xml:space="preserve"> thực hiện phổ cập giáo dục mầm non đ</w:t>
      </w:r>
      <w:r>
        <w:rPr>
          <w:spacing w:val="-6"/>
          <w:szCs w:val="28"/>
        </w:rPr>
        <w:t>ược miễn tiền sử dụng đất, tiền thuê đất và không phải thực hiện thủ tục tính tiền sử dụng đất, tiền thuê đất theo quy định của pháp luật về đất đai;</w:t>
      </w:r>
    </w:p>
    <w:p w14:paraId="35A569FC" w14:textId="77777777" w:rsidR="00393B29" w:rsidRDefault="00393B29" w:rsidP="00A55FF8">
      <w:pPr>
        <w:spacing w:line="340" w:lineRule="atLeast"/>
        <w:ind w:firstLine="709"/>
        <w:rPr>
          <w:spacing w:val="-6"/>
          <w:szCs w:val="28"/>
        </w:rPr>
      </w:pPr>
      <w:r>
        <w:rPr>
          <w:spacing w:val="-6"/>
          <w:szCs w:val="28"/>
        </w:rPr>
        <w:t>3. Dự án đầu tư trong lĩnh vực giáo dục mầm non bao gồm đầu tư xây dựng trường lớp, cơ sở vật chất, trang thiết bị, phần mềm phục vụ dạy học, giáo dục trẻ được áp dụng thuế suất thuế thu nhập doanh nghiệp 5% trong thời gian 15 năm, miễn thuế thu nhập doanh nghiệp trong 5 năm và giảm 50% số thuế thu nhập doanh nghiệp phải nộp trong 10 năm tiếp theo.</w:t>
      </w:r>
    </w:p>
    <w:p w14:paraId="25DFACF5" w14:textId="77777777" w:rsidR="00393B29" w:rsidRDefault="00393B29" w:rsidP="00A55FF8">
      <w:pPr>
        <w:spacing w:line="340" w:lineRule="atLeast"/>
        <w:ind w:firstLine="709"/>
        <w:rPr>
          <w:spacing w:val="-6"/>
          <w:szCs w:val="28"/>
        </w:rPr>
      </w:pPr>
      <w:r>
        <w:rPr>
          <w:spacing w:val="-6"/>
          <w:szCs w:val="28"/>
        </w:rPr>
        <w:t>4. Dự án đầu tư chăm sóc trẻ, hỗ trợ chăm nuôi bán trú (phục vụ ăn, ngủ trưa, đưa đón trẻ) được áp dụng thuế suất thuế thu nhập doanh nghiệp 10% trong thời gian 20 năm, miễn thuế thu nhập doanh nghiệp trong 5 năm và giảm 50% số thuế thu nhập doanh nghiệp phải nộp trong 10 năm tiếp theo.</w:t>
      </w:r>
    </w:p>
    <w:p w14:paraId="002E4758" w14:textId="468F1C41" w:rsidR="00393B29" w:rsidRPr="00393B29" w:rsidRDefault="00393B29" w:rsidP="00A55FF8">
      <w:pPr>
        <w:spacing w:line="340" w:lineRule="atLeast"/>
        <w:ind w:firstLine="709"/>
        <w:rPr>
          <w:i/>
          <w:spacing w:val="-6"/>
          <w:szCs w:val="28"/>
        </w:rPr>
      </w:pPr>
      <w:r>
        <w:rPr>
          <w:spacing w:val="-6"/>
          <w:szCs w:val="28"/>
        </w:rPr>
        <w:t xml:space="preserve">5. </w:t>
      </w:r>
      <w:r w:rsidRPr="008D4633">
        <w:rPr>
          <w:spacing w:val="-6"/>
          <w:szCs w:val="28"/>
        </w:rPr>
        <w:t xml:space="preserve">Thời gian bắt đầu hưởng ưu đãi, điều kiện áp dụng ưu đãi thuế, thu nhập được hưởng ưu đãi quy định tại khoản 1 và khoản 2 Điều này thực hiện </w:t>
      </w:r>
      <w:r w:rsidR="00692C73" w:rsidRPr="008D4633">
        <w:rPr>
          <w:spacing w:val="-6"/>
          <w:szCs w:val="28"/>
        </w:rPr>
        <w:t xml:space="preserve">áp dụng </w:t>
      </w:r>
      <w:r w:rsidRPr="008D4633">
        <w:rPr>
          <w:spacing w:val="-6"/>
          <w:szCs w:val="28"/>
        </w:rPr>
        <w:t>theo quy định của pháp luật về thuế thu nhập doanh nghiệp</w:t>
      </w:r>
      <w:r w:rsidR="003A015D" w:rsidRPr="008D4633">
        <w:rPr>
          <w:spacing w:val="-6"/>
          <w:szCs w:val="28"/>
        </w:rPr>
        <w:t>.</w:t>
      </w:r>
    </w:p>
    <w:p w14:paraId="454D85B1" w14:textId="1A88FE2C" w:rsidR="0080230C" w:rsidRPr="005A72F0" w:rsidRDefault="0080230C" w:rsidP="00A55FF8">
      <w:pPr>
        <w:spacing w:line="340" w:lineRule="atLeast"/>
        <w:ind w:firstLine="709"/>
        <w:rPr>
          <w:b/>
          <w:spacing w:val="-6"/>
          <w:szCs w:val="28"/>
        </w:rPr>
      </w:pPr>
      <w:r w:rsidRPr="005A72F0">
        <w:rPr>
          <w:b/>
          <w:spacing w:val="-6"/>
          <w:szCs w:val="28"/>
        </w:rPr>
        <w:t>Điề</w:t>
      </w:r>
      <w:r w:rsidR="00393B29">
        <w:rPr>
          <w:b/>
          <w:spacing w:val="-6"/>
          <w:szCs w:val="28"/>
        </w:rPr>
        <w:t>u 5</w:t>
      </w:r>
      <w:r w:rsidRPr="005A72F0">
        <w:rPr>
          <w:b/>
          <w:spacing w:val="-6"/>
          <w:szCs w:val="28"/>
        </w:rPr>
        <w:t>. Chính sách thu hút đội ngũ, ưu đãi đối với giáo viên mầm non</w:t>
      </w:r>
      <w:r w:rsidR="00393B29">
        <w:rPr>
          <w:b/>
          <w:spacing w:val="-6"/>
          <w:szCs w:val="28"/>
        </w:rPr>
        <w:t xml:space="preserve"> khi thực hiện thí điểm phổ cập giáo dục mầm non</w:t>
      </w:r>
    </w:p>
    <w:p w14:paraId="1267EFDF" w14:textId="77777777" w:rsidR="003A015D" w:rsidRDefault="00E84D90" w:rsidP="00A55FF8">
      <w:pPr>
        <w:spacing w:line="340" w:lineRule="atLeast"/>
        <w:ind w:firstLine="709"/>
        <w:rPr>
          <w:spacing w:val="-6"/>
          <w:szCs w:val="28"/>
          <w:lang w:val="vi-VN"/>
        </w:rPr>
      </w:pPr>
      <w:r>
        <w:rPr>
          <w:spacing w:val="-6"/>
          <w:szCs w:val="28"/>
          <w:lang w:val="vi-VN"/>
        </w:rPr>
        <w:t>1.</w:t>
      </w:r>
      <w:r w:rsidR="003A015D" w:rsidRPr="003A015D">
        <w:rPr>
          <w:spacing w:val="-6"/>
          <w:szCs w:val="28"/>
          <w:lang w:val="vi-VN"/>
        </w:rPr>
        <w:t xml:space="preserve"> Hội đồng nhân dân cấp tỉnh, thành phố trực thuộc trung ương ban hành quy định chính sách ưu đãi về tuyển dụng, thu hút giáo viên mầm non tại các cơ sở giáo dục mầm non công lập thực hiện phổ cập giáo dục mầm non, căn cứ khả năng ngân </w:t>
      </w:r>
      <w:r w:rsidR="003A015D" w:rsidRPr="003A015D">
        <w:rPr>
          <w:spacing w:val="-6"/>
          <w:szCs w:val="28"/>
          <w:lang w:val="vi-VN"/>
        </w:rPr>
        <w:lastRenderedPageBreak/>
        <w:t>sách của địa phương để xem xét quyết định mức ưu đãi khi tuyển dụng tối thiểu 01 năm tiền lương cơ bản.</w:t>
      </w:r>
    </w:p>
    <w:p w14:paraId="3405C9D9" w14:textId="6BDE9BD3" w:rsidR="00E84D90" w:rsidRDefault="00E84D90" w:rsidP="00A55FF8">
      <w:pPr>
        <w:spacing w:line="340" w:lineRule="atLeast"/>
        <w:ind w:firstLine="709"/>
        <w:rPr>
          <w:spacing w:val="-6"/>
          <w:szCs w:val="28"/>
          <w:lang w:val="vi-VN"/>
        </w:rPr>
      </w:pPr>
      <w:r>
        <w:rPr>
          <w:spacing w:val="-6"/>
          <w:szCs w:val="28"/>
          <w:lang w:val="vi-VN"/>
        </w:rPr>
        <w:t>2.</w:t>
      </w:r>
      <w:r w:rsidR="0060184C">
        <w:rPr>
          <w:spacing w:val="-6"/>
          <w:szCs w:val="28"/>
          <w:lang w:val="vi-VN"/>
        </w:rPr>
        <w:t xml:space="preserve"> Giáo viên mầm non tại các cơ sở giáo dục mầm non công lập thực hiện phổ cập giáo dục mầm non được hỗ trợ tối thiểu </w:t>
      </w:r>
      <w:r w:rsidR="00F0740A">
        <w:rPr>
          <w:spacing w:val="-6"/>
          <w:szCs w:val="28"/>
        </w:rPr>
        <w:t>96</w:t>
      </w:r>
      <w:r w:rsidR="0060184C">
        <w:rPr>
          <w:spacing w:val="-6"/>
          <w:szCs w:val="28"/>
          <w:lang w:val="vi-VN"/>
        </w:rPr>
        <w:t>0.000 đồng/tháng (</w:t>
      </w:r>
      <w:r w:rsidR="00F0740A">
        <w:rPr>
          <w:spacing w:val="-6"/>
          <w:szCs w:val="28"/>
        </w:rPr>
        <w:t xml:space="preserve">chín trăm sáu mươi </w:t>
      </w:r>
      <w:r w:rsidR="0060184C">
        <w:rPr>
          <w:spacing w:val="-6"/>
          <w:szCs w:val="28"/>
          <w:lang w:val="vi-VN"/>
        </w:rPr>
        <w:t>ngàn đồng một tháng)</w:t>
      </w:r>
      <w:r w:rsidR="00F0740A">
        <w:rPr>
          <w:spacing w:val="-6"/>
          <w:szCs w:val="28"/>
        </w:rPr>
        <w:t>, hưởng không quá 09 tháng/năm học</w:t>
      </w:r>
      <w:r w:rsidR="0060184C">
        <w:rPr>
          <w:spacing w:val="-6"/>
          <w:szCs w:val="28"/>
          <w:lang w:val="vi-VN"/>
        </w:rPr>
        <w:t xml:space="preserve">. Mức hỗ trợ </w:t>
      </w:r>
      <w:r w:rsidR="00F0740A">
        <w:rPr>
          <w:spacing w:val="-6"/>
          <w:szCs w:val="28"/>
        </w:rPr>
        <w:t xml:space="preserve">cụ thể </w:t>
      </w:r>
      <w:r w:rsidR="0060184C">
        <w:rPr>
          <w:spacing w:val="-6"/>
          <w:szCs w:val="28"/>
          <w:lang w:val="vi-VN"/>
        </w:rPr>
        <w:t xml:space="preserve">do Uỷ ban nhân dân cấp tỉnh xây dựng phù hợp với khả năng </w:t>
      </w:r>
      <w:r w:rsidR="00AC4228">
        <w:rPr>
          <w:spacing w:val="-6"/>
          <w:szCs w:val="28"/>
        </w:rPr>
        <w:t>ngân</w:t>
      </w:r>
      <w:r w:rsidR="0060184C">
        <w:rPr>
          <w:spacing w:val="-6"/>
          <w:szCs w:val="28"/>
          <w:lang w:val="vi-VN"/>
        </w:rPr>
        <w:t xml:space="preserve"> sách của địa phương, trình Hội đồng nhân dân cùng cấp xem xét, quyết định. </w:t>
      </w:r>
    </w:p>
    <w:p w14:paraId="2FCDA464" w14:textId="77777777" w:rsidR="00B37CCD" w:rsidRPr="00B727B2" w:rsidRDefault="00E84D90" w:rsidP="00B37CCD">
      <w:pPr>
        <w:spacing w:line="340" w:lineRule="atLeast"/>
        <w:ind w:firstLine="709"/>
        <w:rPr>
          <w:spacing w:val="-6"/>
          <w:szCs w:val="28"/>
          <w:lang w:val="vi-VN"/>
        </w:rPr>
      </w:pPr>
      <w:r>
        <w:rPr>
          <w:spacing w:val="-6"/>
          <w:szCs w:val="28"/>
          <w:lang w:val="vi-VN"/>
        </w:rPr>
        <w:t xml:space="preserve">3. </w:t>
      </w:r>
      <w:r w:rsidR="00B37CCD">
        <w:rPr>
          <w:spacing w:val="-6"/>
          <w:lang w:val="vi-VN"/>
        </w:rPr>
        <w:t xml:space="preserve">Giáo viên mầm non tại các cơ sở giáo dục mầm non thực hiện phổ cập giáo dục mầm non được tham gia bồi dưỡng kiến thức, kỹ năng hàng năm theo Chương trình bồi dưỡng của Bộ Giáo dục và Đào tạo. Kinh phí đào tạo, bồi dưỡng do Bộ Giáo dục và đào tạo </w:t>
      </w:r>
      <w:r w:rsidR="00B37CCD">
        <w:rPr>
          <w:spacing w:val="-6"/>
        </w:rPr>
        <w:t xml:space="preserve">đề xuất cấp từ nguồn kinh phí thực hiện Đề án </w:t>
      </w:r>
      <w:r w:rsidR="00B37CCD" w:rsidRPr="00B727B2">
        <w:rPr>
          <w:rStyle w:val="Emphasis"/>
          <w:bCs/>
          <w:i w:val="0"/>
          <w:iCs w:val="0"/>
          <w:szCs w:val="28"/>
          <w:shd w:val="clear" w:color="auto" w:fill="FFFFFF"/>
        </w:rPr>
        <w:t>Đào tạo</w:t>
      </w:r>
      <w:r w:rsidR="00B37CCD" w:rsidRPr="00B727B2">
        <w:rPr>
          <w:szCs w:val="28"/>
          <w:shd w:val="clear" w:color="auto" w:fill="FFFFFF"/>
        </w:rPr>
        <w:t>, </w:t>
      </w:r>
      <w:r w:rsidR="00B37CCD" w:rsidRPr="00B727B2">
        <w:rPr>
          <w:rStyle w:val="Emphasis"/>
          <w:bCs/>
          <w:i w:val="0"/>
          <w:iCs w:val="0"/>
          <w:szCs w:val="28"/>
          <w:shd w:val="clear" w:color="auto" w:fill="FFFFFF"/>
        </w:rPr>
        <w:t>bồi dưỡng</w:t>
      </w:r>
      <w:r w:rsidR="00B37CCD" w:rsidRPr="00B727B2">
        <w:rPr>
          <w:szCs w:val="28"/>
          <w:shd w:val="clear" w:color="auto" w:fill="FFFFFF"/>
        </w:rPr>
        <w:t> nhà </w:t>
      </w:r>
      <w:r w:rsidR="00B37CCD" w:rsidRPr="00B727B2">
        <w:rPr>
          <w:rStyle w:val="Emphasis"/>
          <w:bCs/>
          <w:i w:val="0"/>
          <w:iCs w:val="0"/>
          <w:szCs w:val="28"/>
          <w:shd w:val="clear" w:color="auto" w:fill="FFFFFF"/>
        </w:rPr>
        <w:t>giáo</w:t>
      </w:r>
      <w:r w:rsidR="00B37CCD" w:rsidRPr="00B727B2">
        <w:rPr>
          <w:szCs w:val="28"/>
          <w:shd w:val="clear" w:color="auto" w:fill="FFFFFF"/>
        </w:rPr>
        <w:t> và cán bộ quản lý </w:t>
      </w:r>
      <w:r w:rsidR="00B37CCD" w:rsidRPr="00B727B2">
        <w:rPr>
          <w:rStyle w:val="Emphasis"/>
          <w:bCs/>
          <w:i w:val="0"/>
          <w:iCs w:val="0"/>
          <w:szCs w:val="28"/>
          <w:shd w:val="clear" w:color="auto" w:fill="FFFFFF"/>
        </w:rPr>
        <w:t>giáo</w:t>
      </w:r>
      <w:r w:rsidR="00B37CCD" w:rsidRPr="00B727B2">
        <w:rPr>
          <w:szCs w:val="28"/>
          <w:shd w:val="clear" w:color="auto" w:fill="FFFFFF"/>
        </w:rPr>
        <w:t> dục mầm non giai đoạn 2018 - 2025 (Quyết định </w:t>
      </w:r>
      <w:r w:rsidR="00B37CCD" w:rsidRPr="00B727B2">
        <w:rPr>
          <w:rStyle w:val="Emphasis"/>
          <w:bCs/>
          <w:i w:val="0"/>
          <w:iCs w:val="0"/>
          <w:szCs w:val="28"/>
          <w:shd w:val="clear" w:color="auto" w:fill="FFFFFF"/>
        </w:rPr>
        <w:t>số 33</w:t>
      </w:r>
      <w:r w:rsidR="00B37CCD" w:rsidRPr="00B727B2">
        <w:rPr>
          <w:szCs w:val="28"/>
          <w:shd w:val="clear" w:color="auto" w:fill="FFFFFF"/>
        </w:rPr>
        <w:t>/QĐ-TTg của Thủ tướng Chính phủ); giai đoạn tiếp theo từ nguồn bồi dưỡng thường xuyên giáo viên hàng năm.</w:t>
      </w:r>
    </w:p>
    <w:p w14:paraId="07EEBC95" w14:textId="571DDDAA" w:rsidR="0080230C" w:rsidRPr="005A72F0" w:rsidRDefault="0080230C" w:rsidP="00A55FF8">
      <w:pPr>
        <w:spacing w:line="340" w:lineRule="atLeast"/>
        <w:ind w:firstLine="709"/>
        <w:rPr>
          <w:b/>
          <w:spacing w:val="-6"/>
          <w:szCs w:val="28"/>
        </w:rPr>
      </w:pPr>
      <w:r w:rsidRPr="005A72F0">
        <w:rPr>
          <w:b/>
          <w:spacing w:val="-6"/>
          <w:szCs w:val="28"/>
        </w:rPr>
        <w:t>Điề</w:t>
      </w:r>
      <w:r w:rsidR="00393B29">
        <w:rPr>
          <w:b/>
          <w:spacing w:val="-6"/>
          <w:szCs w:val="28"/>
        </w:rPr>
        <w:t>u 6</w:t>
      </w:r>
      <w:r w:rsidRPr="005A72F0">
        <w:rPr>
          <w:b/>
          <w:spacing w:val="-6"/>
          <w:szCs w:val="28"/>
        </w:rPr>
        <w:t>. Ưu đãi đối với trẻ em mẫu giáo trong độ tuổi thực hiện phổ cập</w:t>
      </w:r>
    </w:p>
    <w:p w14:paraId="155CC5C1" w14:textId="0E8703CA" w:rsidR="002331E2" w:rsidRPr="00620B82" w:rsidRDefault="002331E2" w:rsidP="002331E2">
      <w:pPr>
        <w:spacing w:line="340" w:lineRule="atLeast"/>
        <w:ind w:firstLine="709"/>
        <w:rPr>
          <w:spacing w:val="-6"/>
          <w:szCs w:val="28"/>
        </w:rPr>
      </w:pPr>
      <w:r w:rsidRPr="002331E2">
        <w:rPr>
          <w:spacing w:val="-6"/>
          <w:szCs w:val="28"/>
          <w:lang w:val="vi-VN"/>
        </w:rPr>
        <w:t>1. Đối tượng</w:t>
      </w:r>
      <w:r w:rsidR="00620B82">
        <w:rPr>
          <w:spacing w:val="-6"/>
          <w:szCs w:val="28"/>
        </w:rPr>
        <w:t xml:space="preserve"> được hưởng chính sách</w:t>
      </w:r>
    </w:p>
    <w:p w14:paraId="231B4712" w14:textId="77777777" w:rsidR="002331E2" w:rsidRPr="002331E2" w:rsidRDefault="002331E2" w:rsidP="002331E2">
      <w:pPr>
        <w:spacing w:line="340" w:lineRule="atLeast"/>
        <w:ind w:firstLine="709"/>
        <w:rPr>
          <w:spacing w:val="-6"/>
          <w:szCs w:val="28"/>
          <w:lang w:val="vi-VN"/>
        </w:rPr>
      </w:pPr>
      <w:r w:rsidRPr="002331E2">
        <w:rPr>
          <w:spacing w:val="-6"/>
          <w:szCs w:val="28"/>
          <w:lang w:val="vi-VN"/>
        </w:rPr>
        <w:t>a) Trẻ em mẫu giáo trong độ tuổi thực hiện phổ cập thường trú tại xã, thôn đặc biệt khó khăn, xã khó khăn đang học tại cơ sở giáo dục mầm non thuộc xã khu vực III, khu vực II, khu vực I, vùng đồng bào dân tộc thiểu số và miền núi, vùng bãi ngang, ven biển và hải đảo;</w:t>
      </w:r>
    </w:p>
    <w:p w14:paraId="68823BBA" w14:textId="77777777" w:rsidR="002331E2" w:rsidRPr="002331E2" w:rsidRDefault="002331E2" w:rsidP="002331E2">
      <w:pPr>
        <w:spacing w:line="340" w:lineRule="atLeast"/>
        <w:ind w:firstLine="709"/>
        <w:rPr>
          <w:spacing w:val="-6"/>
          <w:szCs w:val="28"/>
          <w:lang w:val="vi-VN"/>
        </w:rPr>
      </w:pPr>
      <w:r w:rsidRPr="002331E2">
        <w:rPr>
          <w:spacing w:val="-6"/>
          <w:szCs w:val="28"/>
          <w:lang w:val="vi-VN"/>
        </w:rPr>
        <w:t xml:space="preserve">b) Trẻ em mẫu giáo trong độ tuổi thực hiện phổ cập là người dân tộc thiểu số thuộc hộ nghèo, cận nghèo thường trú tại xã khu vực II, khu vực I vùng đồng bào dân tộc thiểu số và miền núi đang học tại cơ sở giáo dục mầm non thuộc xã khu vực III, khu vực II, khu vực I, xã khó khăn vùng đồng bào dân tộc thiểu số và miền núi, các xã đặc biệt khó khăn vùng bãi ngang, ven biển và hải đảo. </w:t>
      </w:r>
    </w:p>
    <w:p w14:paraId="673A45A1" w14:textId="77777777" w:rsidR="002331E2" w:rsidRPr="002331E2" w:rsidRDefault="002331E2" w:rsidP="002331E2">
      <w:pPr>
        <w:spacing w:line="340" w:lineRule="atLeast"/>
        <w:ind w:firstLine="709"/>
        <w:rPr>
          <w:spacing w:val="-6"/>
          <w:szCs w:val="28"/>
          <w:lang w:val="vi-VN"/>
        </w:rPr>
      </w:pPr>
      <w:r w:rsidRPr="002331E2">
        <w:rPr>
          <w:spacing w:val="-6"/>
          <w:szCs w:val="28"/>
          <w:lang w:val="vi-VN"/>
        </w:rPr>
        <w:t>2. Chính sách được hưởng</w:t>
      </w:r>
    </w:p>
    <w:p w14:paraId="0B1A8D5D" w14:textId="77777777" w:rsidR="00620B82" w:rsidRDefault="002331E2" w:rsidP="002331E2">
      <w:pPr>
        <w:spacing w:line="340" w:lineRule="atLeast"/>
        <w:ind w:firstLine="709"/>
        <w:rPr>
          <w:spacing w:val="-6"/>
          <w:szCs w:val="28"/>
          <w:lang w:val="vi-VN"/>
        </w:rPr>
      </w:pPr>
      <w:r w:rsidRPr="002331E2">
        <w:rPr>
          <w:spacing w:val="-6"/>
          <w:szCs w:val="28"/>
          <w:lang w:val="vi-VN"/>
        </w:rPr>
        <w:t xml:space="preserve">a) Trẻ em mẫu giáo trong độ tuổi phổ cập thuộc các trường mầm non công lập được miễn học phí; đối với các trường hợp khác việc miễn giảm học phí được thực hiện theo chính sách hỗ trợ do Hội đồng nhân dân cấp tỉnh, thành phố trực thuộc trung ương ban hành. </w:t>
      </w:r>
    </w:p>
    <w:p w14:paraId="44C98C8A" w14:textId="68486AC0" w:rsidR="00E501EE" w:rsidRDefault="00620B82" w:rsidP="002331E2">
      <w:pPr>
        <w:spacing w:line="340" w:lineRule="atLeast"/>
        <w:ind w:firstLine="709"/>
        <w:rPr>
          <w:spacing w:val="-6"/>
          <w:szCs w:val="28"/>
          <w:lang w:val="vi-VN"/>
        </w:rPr>
      </w:pPr>
      <w:r>
        <w:rPr>
          <w:spacing w:val="-6"/>
          <w:szCs w:val="28"/>
        </w:rPr>
        <w:t>b)</w:t>
      </w:r>
      <w:r w:rsidR="0077352B">
        <w:rPr>
          <w:spacing w:val="-6"/>
          <w:szCs w:val="28"/>
          <w:lang w:val="vi-VN"/>
        </w:rPr>
        <w:t xml:space="preserve"> Trẻ em mẫu giáo trong độ tuổi phổ cập học tập tại các cơ sở phổ cập giáo dục mầm non được</w:t>
      </w:r>
      <w:r w:rsidR="008319A5">
        <w:rPr>
          <w:spacing w:val="-6"/>
          <w:szCs w:val="28"/>
          <w:lang w:val="vi-VN"/>
        </w:rPr>
        <w:t xml:space="preserve"> hỗ trợ </w:t>
      </w:r>
      <w:r w:rsidR="00E501EE">
        <w:rPr>
          <w:spacing w:val="-6"/>
          <w:szCs w:val="28"/>
          <w:lang w:val="vi-VN"/>
        </w:rPr>
        <w:t xml:space="preserve">tiền </w:t>
      </w:r>
      <w:r w:rsidR="008319A5">
        <w:rPr>
          <w:spacing w:val="-6"/>
          <w:szCs w:val="28"/>
          <w:lang w:val="vi-VN"/>
        </w:rPr>
        <w:t>ăn trưa</w:t>
      </w:r>
      <w:r w:rsidR="0077352B">
        <w:rPr>
          <w:spacing w:val="-6"/>
          <w:szCs w:val="28"/>
          <w:lang w:val="vi-VN"/>
        </w:rPr>
        <w:t xml:space="preserve"> </w:t>
      </w:r>
      <w:r w:rsidR="00E501EE">
        <w:rPr>
          <w:spacing w:val="-6"/>
          <w:szCs w:val="28"/>
          <w:lang w:val="vi-VN"/>
        </w:rPr>
        <w:t xml:space="preserve">tối thiểu </w:t>
      </w:r>
      <w:r w:rsidR="0077352B">
        <w:rPr>
          <w:spacing w:val="-6"/>
          <w:szCs w:val="28"/>
          <w:lang w:val="vi-VN"/>
        </w:rPr>
        <w:t>là</w:t>
      </w:r>
      <w:r w:rsidR="008319A5">
        <w:rPr>
          <w:spacing w:val="-6"/>
          <w:szCs w:val="28"/>
          <w:lang w:val="vi-VN"/>
        </w:rPr>
        <w:t xml:space="preserve"> </w:t>
      </w:r>
      <w:r w:rsidR="0077352B">
        <w:rPr>
          <w:spacing w:val="-6"/>
          <w:szCs w:val="28"/>
          <w:lang w:val="vi-VN"/>
        </w:rPr>
        <w:t>360.000 đồng/tháng/cháu (ba trăm sáu mươi nghìn đồng)</w:t>
      </w:r>
      <w:r w:rsidR="00E501EE">
        <w:rPr>
          <w:spacing w:val="-6"/>
          <w:szCs w:val="28"/>
          <w:lang w:val="vi-VN"/>
        </w:rPr>
        <w:t xml:space="preserve">. Thời gian hỗ trợ tính theo số tháng học thực tế, nhưng không quá 9 tháng/năm học. </w:t>
      </w:r>
    </w:p>
    <w:p w14:paraId="488CD3DD" w14:textId="6335473F" w:rsidR="00E501EE" w:rsidRDefault="00620B82" w:rsidP="00E501EE">
      <w:pPr>
        <w:spacing w:line="340" w:lineRule="atLeast"/>
        <w:ind w:firstLine="709"/>
        <w:rPr>
          <w:spacing w:val="-6"/>
          <w:szCs w:val="28"/>
          <w:lang w:val="vi-VN"/>
        </w:rPr>
      </w:pPr>
      <w:r>
        <w:rPr>
          <w:spacing w:val="-6"/>
          <w:szCs w:val="28"/>
        </w:rPr>
        <w:t xml:space="preserve">c) </w:t>
      </w:r>
      <w:r w:rsidR="00E501EE">
        <w:rPr>
          <w:spacing w:val="-6"/>
          <w:szCs w:val="28"/>
          <w:lang w:val="vi-VN"/>
        </w:rPr>
        <w:t xml:space="preserve">Trẻ em mẫu giáo trong độ tuổi phổ cập học tập tại các cơ sở phổ cập giáo dục mầm non được hỗ trợ hỗ trợ chi phí học tập là 160.000 đồng/tháng/cháu (một trăm sáu </w:t>
      </w:r>
      <w:r w:rsidR="00E501EE">
        <w:rPr>
          <w:spacing w:val="-6"/>
          <w:szCs w:val="28"/>
          <w:lang w:val="vi-VN"/>
        </w:rPr>
        <w:lastRenderedPageBreak/>
        <w:t xml:space="preserve">mươi nghìn đồng). Thời gian hỗ trợ tính theo số tháng học thực tế, nhưng không quá 9 tháng/năm học. </w:t>
      </w:r>
    </w:p>
    <w:p w14:paraId="1A8C6E1A" w14:textId="639F24F9" w:rsidR="008319A5" w:rsidRDefault="00E501EE" w:rsidP="008319A5">
      <w:pPr>
        <w:spacing w:line="340" w:lineRule="atLeast"/>
        <w:ind w:firstLine="709"/>
        <w:rPr>
          <w:spacing w:val="-6"/>
          <w:szCs w:val="28"/>
          <w:lang w:val="vi-VN"/>
        </w:rPr>
      </w:pPr>
      <w:r>
        <w:rPr>
          <w:spacing w:val="-6"/>
          <w:szCs w:val="28"/>
        </w:rPr>
        <w:t>Căn</w:t>
      </w:r>
      <w:r>
        <w:rPr>
          <w:spacing w:val="-6"/>
          <w:szCs w:val="28"/>
          <w:lang w:val="vi-VN"/>
        </w:rPr>
        <w:t xml:space="preserve"> cứ tình hình kinh tế - xã hội, khả năng cân đối tài chính ngân sách của địa phương, Uỷ ban nhân dân cấp tỉnh, thành phố trực thuộc trung ương xây dựng, trình </w:t>
      </w:r>
      <w:r w:rsidR="008319A5">
        <w:rPr>
          <w:spacing w:val="-6"/>
          <w:szCs w:val="28"/>
        </w:rPr>
        <w:t>Hội đồng nhân dân cấp</w:t>
      </w:r>
      <w:r>
        <w:rPr>
          <w:spacing w:val="-6"/>
          <w:szCs w:val="28"/>
          <w:lang w:val="vi-VN"/>
        </w:rPr>
        <w:t xml:space="preserve"> cùng cấp</w:t>
      </w:r>
      <w:r w:rsidR="008319A5">
        <w:rPr>
          <w:spacing w:val="-6"/>
          <w:szCs w:val="28"/>
        </w:rPr>
        <w:t xml:space="preserve"> ban hành</w:t>
      </w:r>
      <w:r>
        <w:rPr>
          <w:spacing w:val="-6"/>
          <w:szCs w:val="28"/>
          <w:lang w:val="vi-VN"/>
        </w:rPr>
        <w:t xml:space="preserve"> định mức cụ thể </w:t>
      </w:r>
      <w:r w:rsidR="008319A5">
        <w:rPr>
          <w:spacing w:val="-6"/>
          <w:szCs w:val="28"/>
        </w:rPr>
        <w:t>về miễn giảm học phí, hỗ trợ ăn trưa, hỗ trợ chi phí học tập đối với trẻ em mẫu giáo trong độ tuổi phổ cập</w:t>
      </w:r>
      <w:r w:rsidR="008319A5">
        <w:rPr>
          <w:spacing w:val="-6"/>
          <w:szCs w:val="28"/>
          <w:lang w:val="vi-VN"/>
        </w:rPr>
        <w:t>.</w:t>
      </w:r>
    </w:p>
    <w:p w14:paraId="63A5C893" w14:textId="7AA14032" w:rsidR="00E501EE" w:rsidRDefault="00976B87" w:rsidP="00A55FF8">
      <w:pPr>
        <w:spacing w:line="340" w:lineRule="atLeast"/>
        <w:ind w:firstLine="709"/>
        <w:rPr>
          <w:b/>
          <w:spacing w:val="-6"/>
          <w:szCs w:val="28"/>
          <w:lang w:val="vi-VN"/>
        </w:rPr>
      </w:pPr>
      <w:r w:rsidRPr="00900A5D">
        <w:rPr>
          <w:b/>
          <w:spacing w:val="-6"/>
          <w:szCs w:val="28"/>
        </w:rPr>
        <w:t xml:space="preserve">Điều 7. </w:t>
      </w:r>
      <w:r w:rsidR="00E501EE">
        <w:rPr>
          <w:b/>
          <w:spacing w:val="-6"/>
          <w:szCs w:val="28"/>
        </w:rPr>
        <w:t>Nguồn</w:t>
      </w:r>
      <w:r w:rsidR="00E501EE">
        <w:rPr>
          <w:b/>
          <w:spacing w:val="-6"/>
          <w:szCs w:val="28"/>
          <w:lang w:val="vi-VN"/>
        </w:rPr>
        <w:t xml:space="preserve"> kinh phí và quản lý kinh phí</w:t>
      </w:r>
    </w:p>
    <w:p w14:paraId="156C136D" w14:textId="77777777" w:rsidR="00E501EE" w:rsidRDefault="00E501EE" w:rsidP="00E501EE">
      <w:pPr>
        <w:spacing w:line="340" w:lineRule="atLeast"/>
        <w:ind w:firstLine="709"/>
        <w:rPr>
          <w:spacing w:val="-6"/>
          <w:szCs w:val="28"/>
          <w:lang w:val="vi-VN"/>
        </w:rPr>
      </w:pPr>
      <w:r w:rsidRPr="00E501EE">
        <w:rPr>
          <w:spacing w:val="-6"/>
          <w:szCs w:val="28"/>
          <w:lang w:val="vi-VN"/>
        </w:rPr>
        <w:t>1. Kinh phí thực hiện các chính sách quy định tại Nghị định này bao gồm:</w:t>
      </w:r>
    </w:p>
    <w:p w14:paraId="3C5A7B16" w14:textId="77777777" w:rsidR="00E501EE" w:rsidRDefault="00E501EE" w:rsidP="00E501EE">
      <w:pPr>
        <w:spacing w:line="340" w:lineRule="atLeast"/>
        <w:ind w:firstLine="709"/>
        <w:rPr>
          <w:spacing w:val="-6"/>
          <w:szCs w:val="28"/>
          <w:lang w:val="vi-VN"/>
        </w:rPr>
      </w:pPr>
      <w:r w:rsidRPr="00E501EE">
        <w:rPr>
          <w:spacing w:val="-6"/>
          <w:szCs w:val="28"/>
          <w:lang w:val="vi-VN"/>
        </w:rPr>
        <w:t>a) Ngân sách nhà nước bao gồm: ngân sách địa phương; ngân sách Trung ương hỗ trợ cho các địa phương theo quy định của Luật Ngân sách nhà nước, Luật Đầu tư công và các văn bản hướng dẫn hiện hành.</w:t>
      </w:r>
    </w:p>
    <w:p w14:paraId="3A7C309C" w14:textId="51D03A54" w:rsidR="00E501EE" w:rsidRPr="00E501EE" w:rsidRDefault="00E501EE" w:rsidP="00E501EE">
      <w:pPr>
        <w:spacing w:line="340" w:lineRule="atLeast"/>
        <w:ind w:firstLine="709"/>
        <w:rPr>
          <w:spacing w:val="-6"/>
          <w:szCs w:val="28"/>
          <w:lang w:val="vi-VN"/>
        </w:rPr>
      </w:pPr>
      <w:r w:rsidRPr="00E501EE">
        <w:rPr>
          <w:spacing w:val="-6"/>
          <w:szCs w:val="28"/>
          <w:lang w:val="vi-VN"/>
        </w:rPr>
        <w:t>b) Nguồn vốn xã hội hóa giáo dục và các nguồn vốn huy động hợp pháp khác.</w:t>
      </w:r>
    </w:p>
    <w:p w14:paraId="49619143" w14:textId="77777777" w:rsidR="00E501EE" w:rsidRPr="00E501EE" w:rsidRDefault="00E501EE" w:rsidP="00E501EE">
      <w:pPr>
        <w:spacing w:line="340" w:lineRule="atLeast"/>
        <w:ind w:firstLine="709"/>
        <w:rPr>
          <w:spacing w:val="-6"/>
          <w:szCs w:val="28"/>
          <w:lang w:val="vi-VN"/>
        </w:rPr>
      </w:pPr>
      <w:r w:rsidRPr="00E501EE">
        <w:rPr>
          <w:spacing w:val="-6"/>
          <w:szCs w:val="28"/>
          <w:lang w:val="vi-VN"/>
        </w:rPr>
        <w:t>2. Việc lập dự toán, quản lý, sử dụng và quyết toán kinh phí thực hiện theo quy định hiện hành của Luật Ngân sách nhà nước, Luật Kế toán, Luật Đầu tư công và các văn bản hướng dẫn hiện hành.</w:t>
      </w:r>
    </w:p>
    <w:p w14:paraId="682B032A" w14:textId="4DDF4A29" w:rsidR="00BA2915" w:rsidRPr="00900A5D" w:rsidRDefault="00E501EE" w:rsidP="00A55FF8">
      <w:pPr>
        <w:spacing w:line="340" w:lineRule="atLeast"/>
        <w:ind w:firstLine="709"/>
        <w:rPr>
          <w:b/>
          <w:spacing w:val="-6"/>
          <w:szCs w:val="28"/>
        </w:rPr>
      </w:pPr>
      <w:r>
        <w:rPr>
          <w:b/>
          <w:spacing w:val="-6"/>
          <w:szCs w:val="28"/>
        </w:rPr>
        <w:t>Điều</w:t>
      </w:r>
      <w:r>
        <w:rPr>
          <w:b/>
          <w:spacing w:val="-6"/>
          <w:szCs w:val="28"/>
          <w:lang w:val="vi-VN"/>
        </w:rPr>
        <w:t xml:space="preserve"> 8. </w:t>
      </w:r>
      <w:r w:rsidR="00976B87" w:rsidRPr="00900A5D">
        <w:rPr>
          <w:b/>
          <w:spacing w:val="-6"/>
          <w:szCs w:val="28"/>
        </w:rPr>
        <w:t>Tổ chức thực hiện</w:t>
      </w:r>
    </w:p>
    <w:p w14:paraId="7F7B0F68" w14:textId="419105D7" w:rsidR="00E050B2" w:rsidRDefault="00E050B2" w:rsidP="00A55FF8">
      <w:pPr>
        <w:spacing w:line="340" w:lineRule="atLeast"/>
        <w:ind w:firstLine="709"/>
        <w:rPr>
          <w:spacing w:val="-6"/>
          <w:szCs w:val="28"/>
        </w:rPr>
      </w:pPr>
      <w:r>
        <w:rPr>
          <w:spacing w:val="-6"/>
          <w:szCs w:val="28"/>
        </w:rPr>
        <w:t xml:space="preserve">1. Giao Chính phủ </w:t>
      </w:r>
      <w:r w:rsidR="00E501EE">
        <w:rPr>
          <w:spacing w:val="-6"/>
          <w:szCs w:val="28"/>
        </w:rPr>
        <w:t>ban</w:t>
      </w:r>
      <w:r w:rsidR="00E501EE">
        <w:rPr>
          <w:spacing w:val="-6"/>
          <w:szCs w:val="28"/>
          <w:lang w:val="vi-VN"/>
        </w:rPr>
        <w:t xml:space="preserve"> hành văn bản quy định chi tiết, hướng dẫn thi hành Nghị quyết này; </w:t>
      </w:r>
      <w:r>
        <w:rPr>
          <w:spacing w:val="-6"/>
          <w:szCs w:val="28"/>
        </w:rPr>
        <w:t xml:space="preserve">chỉ đạo các Bộ, ngành, cơ quan trung ương và </w:t>
      </w:r>
      <w:r w:rsidR="00A55FF8">
        <w:rPr>
          <w:spacing w:val="-6"/>
          <w:szCs w:val="28"/>
        </w:rPr>
        <w:t xml:space="preserve">15 tỉnh, thành phố </w:t>
      </w:r>
      <w:r w:rsidR="00393B29">
        <w:rPr>
          <w:spacing w:val="-6"/>
          <w:szCs w:val="28"/>
        </w:rPr>
        <w:t>thực hiện thí điểm phổ cập giáo dục mầm non</w:t>
      </w:r>
      <w:r>
        <w:rPr>
          <w:spacing w:val="-6"/>
          <w:szCs w:val="28"/>
        </w:rPr>
        <w:t xml:space="preserve"> tổ chức thực hiện; theo dõi, thanh kiểm tra việc thực hiện các cơ chế, chính sách nhằm thực hiện phổ cập giáo dục mầm non cho trẻ em mẫu giáo.</w:t>
      </w:r>
    </w:p>
    <w:p w14:paraId="3CFB2D64" w14:textId="7E2031AA" w:rsidR="00E050B2" w:rsidRDefault="00E050B2" w:rsidP="00A55FF8">
      <w:pPr>
        <w:spacing w:line="340" w:lineRule="atLeast"/>
        <w:ind w:firstLine="709"/>
        <w:rPr>
          <w:spacing w:val="-6"/>
          <w:szCs w:val="28"/>
        </w:rPr>
      </w:pPr>
      <w:r>
        <w:rPr>
          <w:spacing w:val="-6"/>
          <w:szCs w:val="28"/>
        </w:rPr>
        <w:t>2. Trong phạm vi nhiệm vụ, quyền hạn của mình, Chính phủ có trách nhiệm thực hiện Nghị quyết này, sơ kết 03 năm thực hiện</w:t>
      </w:r>
      <w:r w:rsidR="00A55FF8">
        <w:rPr>
          <w:spacing w:val="-6"/>
          <w:szCs w:val="28"/>
        </w:rPr>
        <w:t xml:space="preserve"> báo cáo Quốc hội tại kỳ họp cuối năm 2026</w:t>
      </w:r>
      <w:r>
        <w:rPr>
          <w:spacing w:val="-6"/>
          <w:szCs w:val="28"/>
        </w:rPr>
        <w:t xml:space="preserve">; tổng kết </w:t>
      </w:r>
      <w:r w:rsidR="00A55FF8">
        <w:rPr>
          <w:spacing w:val="-6"/>
          <w:szCs w:val="28"/>
        </w:rPr>
        <w:t xml:space="preserve">việc thực hiện Nghị quyết, </w:t>
      </w:r>
      <w:r>
        <w:rPr>
          <w:spacing w:val="-6"/>
          <w:szCs w:val="28"/>
        </w:rPr>
        <w:t>báo cáo Quốc hội về thí điểm phổ cập giáo dục mầm non cho trẻ em mẫ</w:t>
      </w:r>
      <w:r w:rsidR="00A55FF8">
        <w:rPr>
          <w:spacing w:val="-6"/>
          <w:szCs w:val="28"/>
        </w:rPr>
        <w:t xml:space="preserve">u giáo tại kỳ họp cuối năm 2028. </w:t>
      </w:r>
      <w:r>
        <w:rPr>
          <w:spacing w:val="-6"/>
          <w:szCs w:val="28"/>
        </w:rPr>
        <w:t xml:space="preserve"> </w:t>
      </w:r>
    </w:p>
    <w:p w14:paraId="338634C7" w14:textId="77777777" w:rsidR="00A55FF8" w:rsidRPr="00A55FF8" w:rsidRDefault="00E050B2" w:rsidP="00A55FF8">
      <w:pPr>
        <w:spacing w:line="340" w:lineRule="atLeast"/>
        <w:ind w:firstLine="709"/>
        <w:rPr>
          <w:spacing w:val="-6"/>
          <w:szCs w:val="28"/>
        </w:rPr>
      </w:pPr>
      <w:r>
        <w:rPr>
          <w:spacing w:val="-6"/>
          <w:szCs w:val="28"/>
        </w:rPr>
        <w:t xml:space="preserve">3. </w:t>
      </w:r>
      <w:r w:rsidR="00A55FF8" w:rsidRPr="00A55FF8">
        <w:rPr>
          <w:spacing w:val="-6"/>
          <w:szCs w:val="28"/>
        </w:rPr>
        <w:t>Ủy ban Thường vụ Quốc hội, Hội đồng Dân tộc, các Ủy ban của Quốc hội, Đoàn đại biểu Quốc hội 15 tỉnh, thành phố trực thuộc trung ương thực hiện thí điểm và đại biểu Quốc hội, trong phạm vi nhiệm vụ, quyền hạn của mình, giám sát việc thực hiện Nghị quyết này.</w:t>
      </w:r>
    </w:p>
    <w:p w14:paraId="76A37B39" w14:textId="79797E27" w:rsidR="00976B87" w:rsidRPr="00900A5D" w:rsidRDefault="00976B87" w:rsidP="00A55FF8">
      <w:pPr>
        <w:spacing w:line="340" w:lineRule="atLeast"/>
        <w:ind w:firstLine="709"/>
        <w:rPr>
          <w:b/>
          <w:spacing w:val="-6"/>
          <w:szCs w:val="28"/>
        </w:rPr>
      </w:pPr>
      <w:r w:rsidRPr="00900A5D">
        <w:rPr>
          <w:b/>
          <w:spacing w:val="-6"/>
          <w:szCs w:val="28"/>
        </w:rPr>
        <w:t xml:space="preserve">Điều </w:t>
      </w:r>
      <w:r w:rsidR="00E501EE">
        <w:rPr>
          <w:b/>
          <w:spacing w:val="-6"/>
          <w:szCs w:val="28"/>
          <w:lang w:val="vi-VN"/>
        </w:rPr>
        <w:t>9</w:t>
      </w:r>
      <w:r w:rsidRPr="00900A5D">
        <w:rPr>
          <w:b/>
          <w:spacing w:val="-6"/>
          <w:szCs w:val="28"/>
        </w:rPr>
        <w:t>. Điều khoản thi hành</w:t>
      </w:r>
    </w:p>
    <w:p w14:paraId="36B63030" w14:textId="481E281B" w:rsidR="00E050B2" w:rsidRDefault="00E050B2" w:rsidP="00A55FF8">
      <w:pPr>
        <w:spacing w:line="340" w:lineRule="atLeast"/>
        <w:ind w:firstLine="709"/>
        <w:rPr>
          <w:spacing w:val="-6"/>
          <w:szCs w:val="28"/>
        </w:rPr>
      </w:pPr>
      <w:r>
        <w:rPr>
          <w:spacing w:val="-6"/>
          <w:szCs w:val="28"/>
        </w:rPr>
        <w:t xml:space="preserve">1. Nghị quyết này có hiệu lực kể từ ngày </w:t>
      </w:r>
      <w:r w:rsidR="00393B29">
        <w:rPr>
          <w:spacing w:val="-6"/>
          <w:szCs w:val="28"/>
        </w:rPr>
        <w:t xml:space="preserve">… tháng … năm 2023 </w:t>
      </w:r>
      <w:r w:rsidR="000A46A6">
        <w:rPr>
          <w:spacing w:val="-6"/>
          <w:szCs w:val="28"/>
        </w:rPr>
        <w:t xml:space="preserve">và được thực hiện trong thời </w:t>
      </w:r>
      <w:r w:rsidR="000A46A6" w:rsidRPr="00984EB9">
        <w:rPr>
          <w:spacing w:val="-6"/>
          <w:szCs w:val="28"/>
        </w:rPr>
        <w:t>gian 05 năm</w:t>
      </w:r>
      <w:r w:rsidR="000A46A6">
        <w:rPr>
          <w:spacing w:val="-6"/>
          <w:szCs w:val="28"/>
        </w:rPr>
        <w:t>.</w:t>
      </w:r>
    </w:p>
    <w:p w14:paraId="3BAAB3D3" w14:textId="4DE7C426" w:rsidR="00E050B2" w:rsidRDefault="00E050B2" w:rsidP="00A55FF8">
      <w:pPr>
        <w:spacing w:line="340" w:lineRule="atLeast"/>
        <w:ind w:firstLine="709"/>
        <w:rPr>
          <w:spacing w:val="-6"/>
          <w:szCs w:val="28"/>
        </w:rPr>
      </w:pPr>
      <w:r>
        <w:rPr>
          <w:spacing w:val="-6"/>
          <w:szCs w:val="28"/>
        </w:rPr>
        <w:t>2. Các dự án đầu tư quy định tại Điề</w:t>
      </w:r>
      <w:r w:rsidR="00393B29">
        <w:rPr>
          <w:spacing w:val="-6"/>
          <w:szCs w:val="28"/>
        </w:rPr>
        <w:t>u 4</w:t>
      </w:r>
      <w:r>
        <w:rPr>
          <w:spacing w:val="-6"/>
          <w:szCs w:val="28"/>
        </w:rPr>
        <w:t xml:space="preserve"> của Nghị quyết này </w:t>
      </w:r>
      <w:r w:rsidR="000A46A6">
        <w:rPr>
          <w:spacing w:val="-6"/>
          <w:szCs w:val="28"/>
        </w:rPr>
        <w:t>được chấp thuận chủ trương đầu tư hoặc cấp giấy chứng nhận đăng kí đầu tư trong thời gian Nghị quyết này có hiệu lực thi hành thì được hưởng ưu đãi đầu tư theo quy định tại Điề</w:t>
      </w:r>
      <w:r w:rsidR="00393B29">
        <w:rPr>
          <w:spacing w:val="-6"/>
          <w:szCs w:val="28"/>
        </w:rPr>
        <w:t xml:space="preserve">u 4 </w:t>
      </w:r>
      <w:r w:rsidR="000A46A6">
        <w:rPr>
          <w:spacing w:val="-6"/>
          <w:szCs w:val="28"/>
        </w:rPr>
        <w:t>của Nghị quyết này cho đến khi hết thời gian thực hiện dự án.</w:t>
      </w:r>
    </w:p>
    <w:p w14:paraId="552C71AE" w14:textId="0C505EA7" w:rsidR="000A46A6" w:rsidRDefault="000A46A6" w:rsidP="00A55FF8">
      <w:pPr>
        <w:spacing w:line="340" w:lineRule="atLeast"/>
        <w:ind w:firstLine="709"/>
        <w:rPr>
          <w:spacing w:val="-6"/>
          <w:szCs w:val="28"/>
        </w:rPr>
      </w:pPr>
      <w:r>
        <w:rPr>
          <w:spacing w:val="-6"/>
          <w:szCs w:val="28"/>
        </w:rPr>
        <w:lastRenderedPageBreak/>
        <w:t>3. Trường hợp có quy định khác nhau về cùng một vấn đề giữa Nghị quyết này với luật, nghị quyết khác của Quốc hội thì áp dụng theo quy định của Nghị quyết này. Trường hợp văn bản quy phạm pháp luật ban hành sau ngày Nghị quyết này có hiệu lực thi hành có quy định cơ chế, chính sách ưu đãi thuận lợi hơn Nghị quyết này thì việc áp dụng do Hội đồng nhân dân các tỉnh, thành phố quy định.</w:t>
      </w:r>
    </w:p>
    <w:bookmarkEnd w:id="1"/>
    <w:p w14:paraId="503EF42D" w14:textId="7153A400" w:rsidR="003C7172" w:rsidRDefault="003C7172" w:rsidP="00A55FF8">
      <w:pPr>
        <w:spacing w:line="360" w:lineRule="atLeast"/>
        <w:rPr>
          <w:szCs w:val="28"/>
          <w:lang w:val="nb-NO"/>
        </w:rPr>
      </w:pPr>
      <w:r w:rsidRPr="00CC26CE">
        <w:rPr>
          <w:szCs w:val="28"/>
          <w:lang w:val="nb-NO"/>
        </w:rPr>
        <w:t xml:space="preserve">Nghị quyết này được Quốc hội nước Cộng hòa xã hội chủ nghĩa Việt Nam khóa XV, kỳ họp thứ       thông qua ngày      tháng     năm </w:t>
      </w:r>
      <w:r w:rsidR="00F2587A" w:rsidRPr="00CC26CE">
        <w:rPr>
          <w:szCs w:val="28"/>
          <w:lang w:val="nb-NO"/>
        </w:rPr>
        <w:t>202</w:t>
      </w:r>
      <w:r w:rsidR="002E2B30">
        <w:rPr>
          <w:szCs w:val="28"/>
          <w:lang w:val="nb-NO"/>
        </w:rPr>
        <w:t>3</w:t>
      </w:r>
      <w:r w:rsidRPr="00CC26CE">
        <w:rPr>
          <w:szCs w:val="28"/>
          <w:lang w:val="nb-NO"/>
        </w:rPr>
        <w:t>.</w:t>
      </w:r>
    </w:p>
    <w:tbl>
      <w:tblPr>
        <w:tblW w:w="9180" w:type="dxa"/>
        <w:tblLook w:val="04A0" w:firstRow="1" w:lastRow="0" w:firstColumn="1" w:lastColumn="0" w:noHBand="0" w:noVBand="1"/>
      </w:tblPr>
      <w:tblGrid>
        <w:gridCol w:w="3936"/>
        <w:gridCol w:w="5244"/>
      </w:tblGrid>
      <w:tr w:rsidR="005D7355" w:rsidRPr="00EC4C74" w14:paraId="3C00BAAF" w14:textId="77777777" w:rsidTr="000214A8">
        <w:tc>
          <w:tcPr>
            <w:tcW w:w="3936" w:type="dxa"/>
          </w:tcPr>
          <w:p w14:paraId="6519A3A7" w14:textId="77777777" w:rsidR="005D7355" w:rsidRPr="00CC26CE" w:rsidRDefault="005D7355" w:rsidP="00900A5D">
            <w:pPr>
              <w:spacing w:line="240" w:lineRule="auto"/>
              <w:ind w:firstLine="0"/>
              <w:rPr>
                <w:b/>
                <w:lang w:val="nb-NO"/>
              </w:rPr>
            </w:pPr>
          </w:p>
        </w:tc>
        <w:tc>
          <w:tcPr>
            <w:tcW w:w="5244" w:type="dxa"/>
          </w:tcPr>
          <w:p w14:paraId="3031D727" w14:textId="77777777" w:rsidR="00900A5D" w:rsidRDefault="00900A5D" w:rsidP="00900A5D">
            <w:pPr>
              <w:spacing w:line="240" w:lineRule="auto"/>
              <w:ind w:firstLine="0"/>
              <w:jc w:val="center"/>
              <w:rPr>
                <w:b/>
                <w:szCs w:val="28"/>
                <w:lang w:val="nb-NO"/>
              </w:rPr>
            </w:pPr>
          </w:p>
          <w:p w14:paraId="23A839D4" w14:textId="2BF34F31" w:rsidR="005D7355" w:rsidRPr="00CC26CE" w:rsidRDefault="003C7172" w:rsidP="00900A5D">
            <w:pPr>
              <w:spacing w:line="240" w:lineRule="auto"/>
              <w:ind w:firstLine="0"/>
              <w:jc w:val="center"/>
              <w:rPr>
                <w:b/>
                <w:szCs w:val="28"/>
                <w:lang w:val="nb-NO"/>
              </w:rPr>
            </w:pPr>
            <w:r w:rsidRPr="00CC26CE">
              <w:rPr>
                <w:b/>
                <w:szCs w:val="28"/>
                <w:lang w:val="nb-NO"/>
              </w:rPr>
              <w:t>CHỦ TỊCH</w:t>
            </w:r>
            <w:r w:rsidR="005D7355" w:rsidRPr="00CC26CE">
              <w:rPr>
                <w:b/>
                <w:szCs w:val="28"/>
                <w:lang w:val="nb-NO"/>
              </w:rPr>
              <w:t xml:space="preserve"> QUỐC HỘI</w:t>
            </w:r>
          </w:p>
          <w:p w14:paraId="07BF2CAC" w14:textId="77777777" w:rsidR="005D7355" w:rsidRPr="00CC26CE" w:rsidRDefault="005D7355" w:rsidP="00900A5D">
            <w:pPr>
              <w:spacing w:line="240" w:lineRule="auto"/>
              <w:ind w:firstLine="0"/>
              <w:rPr>
                <w:b/>
                <w:szCs w:val="28"/>
                <w:lang w:val="nb-NO"/>
              </w:rPr>
            </w:pPr>
          </w:p>
          <w:p w14:paraId="1B061CD5" w14:textId="0317D088" w:rsidR="005D7355" w:rsidRDefault="005D7355" w:rsidP="00900A5D">
            <w:pPr>
              <w:spacing w:line="240" w:lineRule="auto"/>
              <w:ind w:firstLine="0"/>
              <w:rPr>
                <w:b/>
                <w:szCs w:val="28"/>
                <w:lang w:val="nb-NO"/>
              </w:rPr>
            </w:pPr>
          </w:p>
          <w:p w14:paraId="0789113A" w14:textId="77777777" w:rsidR="00900A5D" w:rsidRPr="00CC26CE" w:rsidRDefault="00900A5D" w:rsidP="00900A5D">
            <w:pPr>
              <w:spacing w:line="240" w:lineRule="auto"/>
              <w:ind w:firstLine="0"/>
              <w:rPr>
                <w:b/>
                <w:szCs w:val="28"/>
                <w:lang w:val="nb-NO"/>
              </w:rPr>
            </w:pPr>
          </w:p>
          <w:p w14:paraId="548CE381" w14:textId="77777777" w:rsidR="005D7355" w:rsidRPr="00CC26CE" w:rsidRDefault="005D7355" w:rsidP="00900A5D">
            <w:pPr>
              <w:spacing w:line="240" w:lineRule="auto"/>
              <w:ind w:firstLine="0"/>
              <w:jc w:val="center"/>
              <w:rPr>
                <w:b/>
                <w:lang w:val="nb-NO"/>
              </w:rPr>
            </w:pPr>
            <w:r w:rsidRPr="00CC26CE">
              <w:rPr>
                <w:b/>
                <w:szCs w:val="28"/>
                <w:lang w:val="nb-NO"/>
              </w:rPr>
              <w:t>Vương Đình Huệ</w:t>
            </w:r>
          </w:p>
        </w:tc>
      </w:tr>
    </w:tbl>
    <w:p w14:paraId="030697DB" w14:textId="77777777" w:rsidR="005D7355" w:rsidRPr="00CC26CE" w:rsidRDefault="005D7355" w:rsidP="00900A5D">
      <w:pPr>
        <w:spacing w:line="240" w:lineRule="auto"/>
        <w:ind w:firstLine="0"/>
        <w:rPr>
          <w:lang w:val="nb-NO"/>
        </w:rPr>
      </w:pPr>
    </w:p>
    <w:p w14:paraId="34C9A1E4" w14:textId="77777777" w:rsidR="004332DC" w:rsidRPr="00CC26CE" w:rsidRDefault="004332DC" w:rsidP="00900A5D">
      <w:pPr>
        <w:spacing w:line="240" w:lineRule="auto"/>
        <w:rPr>
          <w:lang w:val="nb-NO"/>
        </w:rPr>
      </w:pPr>
    </w:p>
    <w:sectPr w:rsidR="004332DC" w:rsidRPr="00CC26CE" w:rsidSect="003C7172">
      <w:headerReference w:type="default" r:id="rId8"/>
      <w:pgSz w:w="11907" w:h="16840" w:code="9"/>
      <w:pgMar w:top="1134" w:right="1134" w:bottom="1134" w:left="1701" w:header="720" w:footer="2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4A8D7" w14:textId="77777777" w:rsidR="002C749A" w:rsidRDefault="002C749A">
      <w:pPr>
        <w:spacing w:before="0" w:after="0" w:line="240" w:lineRule="auto"/>
      </w:pPr>
      <w:r>
        <w:separator/>
      </w:r>
    </w:p>
  </w:endnote>
  <w:endnote w:type="continuationSeparator" w:id="0">
    <w:p w14:paraId="05007540" w14:textId="77777777" w:rsidR="002C749A" w:rsidRDefault="002C74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9F874" w14:textId="77777777" w:rsidR="002C749A" w:rsidRDefault="002C749A">
      <w:pPr>
        <w:spacing w:before="0" w:after="0" w:line="240" w:lineRule="auto"/>
      </w:pPr>
      <w:r>
        <w:separator/>
      </w:r>
    </w:p>
  </w:footnote>
  <w:footnote w:type="continuationSeparator" w:id="0">
    <w:p w14:paraId="5D6BBF8A" w14:textId="77777777" w:rsidR="002C749A" w:rsidRDefault="002C74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77883"/>
      <w:docPartObj>
        <w:docPartGallery w:val="Page Numbers (Top of Page)"/>
        <w:docPartUnique/>
      </w:docPartObj>
    </w:sdtPr>
    <w:sdtEndPr>
      <w:rPr>
        <w:noProof/>
      </w:rPr>
    </w:sdtEndPr>
    <w:sdtContent>
      <w:p w14:paraId="02585F66" w14:textId="5DD25E0A" w:rsidR="000214A8" w:rsidRDefault="000214A8" w:rsidP="00EA54EE">
        <w:pPr>
          <w:pStyle w:val="Header"/>
          <w:tabs>
            <w:tab w:val="clear" w:pos="9360"/>
          </w:tabs>
          <w:jc w:val="center"/>
        </w:pPr>
        <w:r>
          <w:fldChar w:fldCharType="begin"/>
        </w:r>
        <w:r>
          <w:instrText xml:space="preserve"> PAGE   \* MERGEFORMAT </w:instrText>
        </w:r>
        <w:r>
          <w:fldChar w:fldCharType="separate"/>
        </w:r>
        <w:r w:rsidR="00100F64">
          <w:rPr>
            <w:noProof/>
          </w:rPr>
          <w:t>4</w:t>
        </w:r>
        <w:r>
          <w:rPr>
            <w:noProof/>
          </w:rPr>
          <w:fldChar w:fldCharType="end"/>
        </w:r>
      </w:p>
    </w:sdtContent>
  </w:sdt>
  <w:p w14:paraId="13508AEC" w14:textId="77777777" w:rsidR="000214A8" w:rsidRDefault="0002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7017"/>
    <w:multiLevelType w:val="hybridMultilevel"/>
    <w:tmpl w:val="66DC9878"/>
    <w:lvl w:ilvl="0" w:tplc="DE586224">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6C50E1C"/>
    <w:multiLevelType w:val="hybridMultilevel"/>
    <w:tmpl w:val="08E809C4"/>
    <w:lvl w:ilvl="0" w:tplc="FB942A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DE709B7"/>
    <w:multiLevelType w:val="hybridMultilevel"/>
    <w:tmpl w:val="83BE7D1C"/>
    <w:lvl w:ilvl="0" w:tplc="E38E4E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C274B55"/>
    <w:multiLevelType w:val="hybridMultilevel"/>
    <w:tmpl w:val="FB9C4820"/>
    <w:lvl w:ilvl="0" w:tplc="D3CCED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C29755D"/>
    <w:multiLevelType w:val="hybridMultilevel"/>
    <w:tmpl w:val="FE9AEC4A"/>
    <w:lvl w:ilvl="0" w:tplc="87DEDCA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CAD15F6"/>
    <w:multiLevelType w:val="multilevel"/>
    <w:tmpl w:val="4DF0523C"/>
    <w:lvl w:ilvl="0">
      <w:start w:val="1"/>
      <w:numFmt w:val="decimal"/>
      <w:lvlText w:val="%1."/>
      <w:lvlJc w:val="left"/>
      <w:pPr>
        <w:ind w:left="786" w:hanging="360"/>
      </w:pPr>
      <w:rPr>
        <w:rFonts w:hint="default"/>
      </w:rPr>
    </w:lvl>
    <w:lvl w:ilvl="1">
      <w:start w:val="1"/>
      <w:numFmt w:val="decimal"/>
      <w:isLgl/>
      <w:lvlText w:val="%1.%2."/>
      <w:lvlJc w:val="left"/>
      <w:pPr>
        <w:ind w:left="930" w:hanging="504"/>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5"/>
    <w:rsid w:val="0000087F"/>
    <w:rsid w:val="00003743"/>
    <w:rsid w:val="00004960"/>
    <w:rsid w:val="0001129C"/>
    <w:rsid w:val="00015ECA"/>
    <w:rsid w:val="000214A8"/>
    <w:rsid w:val="0002371C"/>
    <w:rsid w:val="000252D9"/>
    <w:rsid w:val="000306CB"/>
    <w:rsid w:val="00032039"/>
    <w:rsid w:val="00036A3F"/>
    <w:rsid w:val="000403FB"/>
    <w:rsid w:val="000464DD"/>
    <w:rsid w:val="00050E0D"/>
    <w:rsid w:val="000540F8"/>
    <w:rsid w:val="000542DF"/>
    <w:rsid w:val="00066964"/>
    <w:rsid w:val="00071382"/>
    <w:rsid w:val="00072D24"/>
    <w:rsid w:val="00080255"/>
    <w:rsid w:val="00084EA4"/>
    <w:rsid w:val="00093908"/>
    <w:rsid w:val="00095908"/>
    <w:rsid w:val="000978EE"/>
    <w:rsid w:val="000A46A6"/>
    <w:rsid w:val="000A4DEF"/>
    <w:rsid w:val="000B3E36"/>
    <w:rsid w:val="000B4246"/>
    <w:rsid w:val="000B43B6"/>
    <w:rsid w:val="000B7E0B"/>
    <w:rsid w:val="000C5BAD"/>
    <w:rsid w:val="000C6274"/>
    <w:rsid w:val="000C7835"/>
    <w:rsid w:val="000D56AE"/>
    <w:rsid w:val="000F5DD1"/>
    <w:rsid w:val="001006C5"/>
    <w:rsid w:val="00100F64"/>
    <w:rsid w:val="001027EF"/>
    <w:rsid w:val="001120E4"/>
    <w:rsid w:val="001176ED"/>
    <w:rsid w:val="001257C5"/>
    <w:rsid w:val="00126E6C"/>
    <w:rsid w:val="00150BEC"/>
    <w:rsid w:val="00155338"/>
    <w:rsid w:val="00174B1D"/>
    <w:rsid w:val="00174DD0"/>
    <w:rsid w:val="001809A9"/>
    <w:rsid w:val="001901F5"/>
    <w:rsid w:val="00195139"/>
    <w:rsid w:val="001A21C0"/>
    <w:rsid w:val="001A60F9"/>
    <w:rsid w:val="001A64AC"/>
    <w:rsid w:val="001B3A8E"/>
    <w:rsid w:val="001C17BD"/>
    <w:rsid w:val="001C26B7"/>
    <w:rsid w:val="001C77B9"/>
    <w:rsid w:val="001D0D0F"/>
    <w:rsid w:val="001E18FF"/>
    <w:rsid w:val="001E3655"/>
    <w:rsid w:val="001E456D"/>
    <w:rsid w:val="001E60EF"/>
    <w:rsid w:val="001F21A5"/>
    <w:rsid w:val="00203C82"/>
    <w:rsid w:val="00203C96"/>
    <w:rsid w:val="00210E1B"/>
    <w:rsid w:val="00216E1D"/>
    <w:rsid w:val="002214FD"/>
    <w:rsid w:val="002331E2"/>
    <w:rsid w:val="002355BB"/>
    <w:rsid w:val="00237C30"/>
    <w:rsid w:val="0024139B"/>
    <w:rsid w:val="00245F73"/>
    <w:rsid w:val="002532E0"/>
    <w:rsid w:val="00253A58"/>
    <w:rsid w:val="00253FEE"/>
    <w:rsid w:val="00277A66"/>
    <w:rsid w:val="0028237E"/>
    <w:rsid w:val="00282BE7"/>
    <w:rsid w:val="0029406C"/>
    <w:rsid w:val="002A0586"/>
    <w:rsid w:val="002A5AF4"/>
    <w:rsid w:val="002A6518"/>
    <w:rsid w:val="002B3262"/>
    <w:rsid w:val="002B3C8F"/>
    <w:rsid w:val="002C57EB"/>
    <w:rsid w:val="002C6F02"/>
    <w:rsid w:val="002C709A"/>
    <w:rsid w:val="002C749A"/>
    <w:rsid w:val="002C78AB"/>
    <w:rsid w:val="002D4837"/>
    <w:rsid w:val="002E2B30"/>
    <w:rsid w:val="002F218E"/>
    <w:rsid w:val="002F31C3"/>
    <w:rsid w:val="00305537"/>
    <w:rsid w:val="00307F38"/>
    <w:rsid w:val="003110F4"/>
    <w:rsid w:val="00315302"/>
    <w:rsid w:val="00321FF5"/>
    <w:rsid w:val="00322127"/>
    <w:rsid w:val="003236B4"/>
    <w:rsid w:val="0033386A"/>
    <w:rsid w:val="00333E55"/>
    <w:rsid w:val="00334B92"/>
    <w:rsid w:val="00335033"/>
    <w:rsid w:val="003353F4"/>
    <w:rsid w:val="00344AE7"/>
    <w:rsid w:val="003528DC"/>
    <w:rsid w:val="00364E1C"/>
    <w:rsid w:val="0036798A"/>
    <w:rsid w:val="00367D1C"/>
    <w:rsid w:val="0037063C"/>
    <w:rsid w:val="00385EF1"/>
    <w:rsid w:val="00393B29"/>
    <w:rsid w:val="0039763C"/>
    <w:rsid w:val="003A015D"/>
    <w:rsid w:val="003A27C6"/>
    <w:rsid w:val="003B1D9D"/>
    <w:rsid w:val="003B7324"/>
    <w:rsid w:val="003C022A"/>
    <w:rsid w:val="003C7172"/>
    <w:rsid w:val="003E4931"/>
    <w:rsid w:val="003E5346"/>
    <w:rsid w:val="003F27FD"/>
    <w:rsid w:val="00406152"/>
    <w:rsid w:val="004208DC"/>
    <w:rsid w:val="00420EBF"/>
    <w:rsid w:val="00422093"/>
    <w:rsid w:val="00425246"/>
    <w:rsid w:val="00427FA7"/>
    <w:rsid w:val="00431215"/>
    <w:rsid w:val="004332DC"/>
    <w:rsid w:val="00437560"/>
    <w:rsid w:val="00445BA1"/>
    <w:rsid w:val="00450CED"/>
    <w:rsid w:val="00452D0A"/>
    <w:rsid w:val="00462BDA"/>
    <w:rsid w:val="004655DF"/>
    <w:rsid w:val="00473CCD"/>
    <w:rsid w:val="004746DF"/>
    <w:rsid w:val="00475421"/>
    <w:rsid w:val="0047556E"/>
    <w:rsid w:val="004815CB"/>
    <w:rsid w:val="00482C5C"/>
    <w:rsid w:val="00494971"/>
    <w:rsid w:val="00495236"/>
    <w:rsid w:val="00497C4F"/>
    <w:rsid w:val="004C069B"/>
    <w:rsid w:val="004C2B4C"/>
    <w:rsid w:val="004C2F9A"/>
    <w:rsid w:val="004C7F5A"/>
    <w:rsid w:val="004D0BB9"/>
    <w:rsid w:val="004D2F3B"/>
    <w:rsid w:val="004D7E6C"/>
    <w:rsid w:val="004E105C"/>
    <w:rsid w:val="004E13EF"/>
    <w:rsid w:val="004E2E87"/>
    <w:rsid w:val="004E3A70"/>
    <w:rsid w:val="004E3D9C"/>
    <w:rsid w:val="004F1B7F"/>
    <w:rsid w:val="00504806"/>
    <w:rsid w:val="00505CE2"/>
    <w:rsid w:val="00511A26"/>
    <w:rsid w:val="005139FF"/>
    <w:rsid w:val="005148F7"/>
    <w:rsid w:val="00524D4C"/>
    <w:rsid w:val="0052561E"/>
    <w:rsid w:val="0052594B"/>
    <w:rsid w:val="005310D6"/>
    <w:rsid w:val="00536AA5"/>
    <w:rsid w:val="00543608"/>
    <w:rsid w:val="00543E78"/>
    <w:rsid w:val="00544FA8"/>
    <w:rsid w:val="0054710B"/>
    <w:rsid w:val="00550A77"/>
    <w:rsid w:val="00561144"/>
    <w:rsid w:val="0057443A"/>
    <w:rsid w:val="00591029"/>
    <w:rsid w:val="00592A78"/>
    <w:rsid w:val="005966DF"/>
    <w:rsid w:val="005A1137"/>
    <w:rsid w:val="005A5693"/>
    <w:rsid w:val="005A72F0"/>
    <w:rsid w:val="005B0F95"/>
    <w:rsid w:val="005B1DF1"/>
    <w:rsid w:val="005B20AF"/>
    <w:rsid w:val="005B255E"/>
    <w:rsid w:val="005D0BBB"/>
    <w:rsid w:val="005D2C2B"/>
    <w:rsid w:val="005D30FA"/>
    <w:rsid w:val="005D3B0C"/>
    <w:rsid w:val="005D42F0"/>
    <w:rsid w:val="005D7355"/>
    <w:rsid w:val="005E27FF"/>
    <w:rsid w:val="005E2D61"/>
    <w:rsid w:val="005F0535"/>
    <w:rsid w:val="005F3148"/>
    <w:rsid w:val="005F5B59"/>
    <w:rsid w:val="0060184C"/>
    <w:rsid w:val="006033D4"/>
    <w:rsid w:val="00607C14"/>
    <w:rsid w:val="00620B82"/>
    <w:rsid w:val="00626D06"/>
    <w:rsid w:val="00627DD0"/>
    <w:rsid w:val="006420EE"/>
    <w:rsid w:val="006512BD"/>
    <w:rsid w:val="00652019"/>
    <w:rsid w:val="00654FB2"/>
    <w:rsid w:val="0065582B"/>
    <w:rsid w:val="00664039"/>
    <w:rsid w:val="00665C21"/>
    <w:rsid w:val="00665EC5"/>
    <w:rsid w:val="00666D06"/>
    <w:rsid w:val="00670319"/>
    <w:rsid w:val="00670B8E"/>
    <w:rsid w:val="00682E24"/>
    <w:rsid w:val="0068322C"/>
    <w:rsid w:val="00685BE6"/>
    <w:rsid w:val="00690DA9"/>
    <w:rsid w:val="00692C73"/>
    <w:rsid w:val="00695ADC"/>
    <w:rsid w:val="00696C2D"/>
    <w:rsid w:val="00697821"/>
    <w:rsid w:val="006B0810"/>
    <w:rsid w:val="006B71AC"/>
    <w:rsid w:val="006C01FE"/>
    <w:rsid w:val="006C4E4B"/>
    <w:rsid w:val="006D760D"/>
    <w:rsid w:val="006F107D"/>
    <w:rsid w:val="006F1238"/>
    <w:rsid w:val="006F14CC"/>
    <w:rsid w:val="006F2431"/>
    <w:rsid w:val="0070127B"/>
    <w:rsid w:val="00704E77"/>
    <w:rsid w:val="00705764"/>
    <w:rsid w:val="007103B8"/>
    <w:rsid w:val="00713257"/>
    <w:rsid w:val="0071520D"/>
    <w:rsid w:val="00724271"/>
    <w:rsid w:val="007358D4"/>
    <w:rsid w:val="00744EB0"/>
    <w:rsid w:val="00760C9E"/>
    <w:rsid w:val="0077352B"/>
    <w:rsid w:val="00774B8D"/>
    <w:rsid w:val="00776663"/>
    <w:rsid w:val="00783976"/>
    <w:rsid w:val="007842BB"/>
    <w:rsid w:val="007922FE"/>
    <w:rsid w:val="0079654B"/>
    <w:rsid w:val="007A4230"/>
    <w:rsid w:val="007A675C"/>
    <w:rsid w:val="007B7869"/>
    <w:rsid w:val="007C3809"/>
    <w:rsid w:val="007C6DA5"/>
    <w:rsid w:val="007D355A"/>
    <w:rsid w:val="007D3751"/>
    <w:rsid w:val="007D4EB3"/>
    <w:rsid w:val="007E3AD4"/>
    <w:rsid w:val="007E6864"/>
    <w:rsid w:val="0080230C"/>
    <w:rsid w:val="008039E4"/>
    <w:rsid w:val="0081071E"/>
    <w:rsid w:val="00811082"/>
    <w:rsid w:val="00813580"/>
    <w:rsid w:val="00820EE7"/>
    <w:rsid w:val="00821106"/>
    <w:rsid w:val="0082302D"/>
    <w:rsid w:val="008237F3"/>
    <w:rsid w:val="008319A5"/>
    <w:rsid w:val="00835C87"/>
    <w:rsid w:val="00836065"/>
    <w:rsid w:val="00837BC1"/>
    <w:rsid w:val="00837FCF"/>
    <w:rsid w:val="0084001B"/>
    <w:rsid w:val="0084161D"/>
    <w:rsid w:val="0084553D"/>
    <w:rsid w:val="00864FD3"/>
    <w:rsid w:val="00870A19"/>
    <w:rsid w:val="00872293"/>
    <w:rsid w:val="008729A1"/>
    <w:rsid w:val="00875154"/>
    <w:rsid w:val="00876CB4"/>
    <w:rsid w:val="00882A84"/>
    <w:rsid w:val="008858A0"/>
    <w:rsid w:val="00890D84"/>
    <w:rsid w:val="008A6DEC"/>
    <w:rsid w:val="008A7B9D"/>
    <w:rsid w:val="008B24EF"/>
    <w:rsid w:val="008D4633"/>
    <w:rsid w:val="008D691C"/>
    <w:rsid w:val="008F096B"/>
    <w:rsid w:val="008F4AA7"/>
    <w:rsid w:val="008F646B"/>
    <w:rsid w:val="00900A5D"/>
    <w:rsid w:val="00934AA4"/>
    <w:rsid w:val="009425F5"/>
    <w:rsid w:val="00947C39"/>
    <w:rsid w:val="0095157A"/>
    <w:rsid w:val="00954C06"/>
    <w:rsid w:val="00955FCA"/>
    <w:rsid w:val="00963CCC"/>
    <w:rsid w:val="00970628"/>
    <w:rsid w:val="00976B87"/>
    <w:rsid w:val="00984EB9"/>
    <w:rsid w:val="00985451"/>
    <w:rsid w:val="009865ED"/>
    <w:rsid w:val="00987ADC"/>
    <w:rsid w:val="009901D2"/>
    <w:rsid w:val="009915B1"/>
    <w:rsid w:val="00991CEC"/>
    <w:rsid w:val="00991FB6"/>
    <w:rsid w:val="009927AB"/>
    <w:rsid w:val="00992B8E"/>
    <w:rsid w:val="0099359B"/>
    <w:rsid w:val="009939B2"/>
    <w:rsid w:val="0099442A"/>
    <w:rsid w:val="00995CC2"/>
    <w:rsid w:val="009A2D0C"/>
    <w:rsid w:val="009B0751"/>
    <w:rsid w:val="009B11A9"/>
    <w:rsid w:val="009B28C6"/>
    <w:rsid w:val="009C2D9F"/>
    <w:rsid w:val="009C6C37"/>
    <w:rsid w:val="009C6CF5"/>
    <w:rsid w:val="009C7FAD"/>
    <w:rsid w:val="009D53E9"/>
    <w:rsid w:val="009E2132"/>
    <w:rsid w:val="009F0EB5"/>
    <w:rsid w:val="009F4D2B"/>
    <w:rsid w:val="009F6A64"/>
    <w:rsid w:val="009F7B39"/>
    <w:rsid w:val="00A175E9"/>
    <w:rsid w:val="00A219F9"/>
    <w:rsid w:val="00A22EDE"/>
    <w:rsid w:val="00A53AD1"/>
    <w:rsid w:val="00A55FF8"/>
    <w:rsid w:val="00A61B75"/>
    <w:rsid w:val="00A6635A"/>
    <w:rsid w:val="00A66EB4"/>
    <w:rsid w:val="00A676BF"/>
    <w:rsid w:val="00A747CC"/>
    <w:rsid w:val="00A81FD5"/>
    <w:rsid w:val="00A87F40"/>
    <w:rsid w:val="00A90EBA"/>
    <w:rsid w:val="00A95579"/>
    <w:rsid w:val="00AA237A"/>
    <w:rsid w:val="00AB03FA"/>
    <w:rsid w:val="00AB602F"/>
    <w:rsid w:val="00AB72FA"/>
    <w:rsid w:val="00AC4228"/>
    <w:rsid w:val="00AC62EA"/>
    <w:rsid w:val="00AD1B56"/>
    <w:rsid w:val="00AD1FEF"/>
    <w:rsid w:val="00AD2C9A"/>
    <w:rsid w:val="00AD414D"/>
    <w:rsid w:val="00AD7432"/>
    <w:rsid w:val="00AE403D"/>
    <w:rsid w:val="00AE62CA"/>
    <w:rsid w:val="00AF140D"/>
    <w:rsid w:val="00AF66E3"/>
    <w:rsid w:val="00B0058F"/>
    <w:rsid w:val="00B03F7D"/>
    <w:rsid w:val="00B138A7"/>
    <w:rsid w:val="00B14D12"/>
    <w:rsid w:val="00B16E1C"/>
    <w:rsid w:val="00B206D7"/>
    <w:rsid w:val="00B23774"/>
    <w:rsid w:val="00B30EB6"/>
    <w:rsid w:val="00B37CCD"/>
    <w:rsid w:val="00B5084B"/>
    <w:rsid w:val="00B518E2"/>
    <w:rsid w:val="00B61754"/>
    <w:rsid w:val="00B734D7"/>
    <w:rsid w:val="00B8189E"/>
    <w:rsid w:val="00B81CA7"/>
    <w:rsid w:val="00B8517A"/>
    <w:rsid w:val="00B935E5"/>
    <w:rsid w:val="00B95FD2"/>
    <w:rsid w:val="00BA0F13"/>
    <w:rsid w:val="00BA2915"/>
    <w:rsid w:val="00BA2F0B"/>
    <w:rsid w:val="00BB4780"/>
    <w:rsid w:val="00BB7687"/>
    <w:rsid w:val="00BC5511"/>
    <w:rsid w:val="00BC5722"/>
    <w:rsid w:val="00BC58B5"/>
    <w:rsid w:val="00BD2F95"/>
    <w:rsid w:val="00BD3B1A"/>
    <w:rsid w:val="00BE09CA"/>
    <w:rsid w:val="00BF2B31"/>
    <w:rsid w:val="00C12658"/>
    <w:rsid w:val="00C12AE0"/>
    <w:rsid w:val="00C140FE"/>
    <w:rsid w:val="00C24A77"/>
    <w:rsid w:val="00C27AED"/>
    <w:rsid w:val="00C401F0"/>
    <w:rsid w:val="00C46EF6"/>
    <w:rsid w:val="00C47B66"/>
    <w:rsid w:val="00C61102"/>
    <w:rsid w:val="00C700FF"/>
    <w:rsid w:val="00C70147"/>
    <w:rsid w:val="00C7036A"/>
    <w:rsid w:val="00C71027"/>
    <w:rsid w:val="00C734DD"/>
    <w:rsid w:val="00C77444"/>
    <w:rsid w:val="00C81144"/>
    <w:rsid w:val="00C879F0"/>
    <w:rsid w:val="00C9303F"/>
    <w:rsid w:val="00C9344E"/>
    <w:rsid w:val="00CA0993"/>
    <w:rsid w:val="00CA216A"/>
    <w:rsid w:val="00CA2A09"/>
    <w:rsid w:val="00CA2E98"/>
    <w:rsid w:val="00CA31B2"/>
    <w:rsid w:val="00CA3D93"/>
    <w:rsid w:val="00CA525D"/>
    <w:rsid w:val="00CA6AAB"/>
    <w:rsid w:val="00CB7CB6"/>
    <w:rsid w:val="00CC26CE"/>
    <w:rsid w:val="00CC2962"/>
    <w:rsid w:val="00CD4643"/>
    <w:rsid w:val="00CD5D89"/>
    <w:rsid w:val="00CE0452"/>
    <w:rsid w:val="00CE2FF1"/>
    <w:rsid w:val="00CE3D93"/>
    <w:rsid w:val="00CE70D2"/>
    <w:rsid w:val="00CF4A41"/>
    <w:rsid w:val="00D065CE"/>
    <w:rsid w:val="00D138DC"/>
    <w:rsid w:val="00D144A7"/>
    <w:rsid w:val="00D14E1E"/>
    <w:rsid w:val="00D22639"/>
    <w:rsid w:val="00D25724"/>
    <w:rsid w:val="00D313C0"/>
    <w:rsid w:val="00D33A4B"/>
    <w:rsid w:val="00D41E5B"/>
    <w:rsid w:val="00D62CD7"/>
    <w:rsid w:val="00D640E5"/>
    <w:rsid w:val="00D65665"/>
    <w:rsid w:val="00D73B95"/>
    <w:rsid w:val="00D740ED"/>
    <w:rsid w:val="00D84D95"/>
    <w:rsid w:val="00D86AD6"/>
    <w:rsid w:val="00D906C3"/>
    <w:rsid w:val="00D92A7C"/>
    <w:rsid w:val="00D93AE4"/>
    <w:rsid w:val="00D96164"/>
    <w:rsid w:val="00D963C6"/>
    <w:rsid w:val="00D964DB"/>
    <w:rsid w:val="00D97B2F"/>
    <w:rsid w:val="00D97CC0"/>
    <w:rsid w:val="00DA18FF"/>
    <w:rsid w:val="00DA7792"/>
    <w:rsid w:val="00DB5007"/>
    <w:rsid w:val="00DB5E13"/>
    <w:rsid w:val="00DC3E67"/>
    <w:rsid w:val="00DC6113"/>
    <w:rsid w:val="00DD0E4D"/>
    <w:rsid w:val="00DD76C0"/>
    <w:rsid w:val="00DE1871"/>
    <w:rsid w:val="00DF00DB"/>
    <w:rsid w:val="00DF021A"/>
    <w:rsid w:val="00E050B2"/>
    <w:rsid w:val="00E10911"/>
    <w:rsid w:val="00E17133"/>
    <w:rsid w:val="00E27485"/>
    <w:rsid w:val="00E3303F"/>
    <w:rsid w:val="00E37099"/>
    <w:rsid w:val="00E40F05"/>
    <w:rsid w:val="00E501EE"/>
    <w:rsid w:val="00E54812"/>
    <w:rsid w:val="00E57AF7"/>
    <w:rsid w:val="00E65A72"/>
    <w:rsid w:val="00E7190B"/>
    <w:rsid w:val="00E74E27"/>
    <w:rsid w:val="00E808D6"/>
    <w:rsid w:val="00E82687"/>
    <w:rsid w:val="00E847E0"/>
    <w:rsid w:val="00E84D90"/>
    <w:rsid w:val="00E86640"/>
    <w:rsid w:val="00E95FD6"/>
    <w:rsid w:val="00E9659B"/>
    <w:rsid w:val="00EA54EE"/>
    <w:rsid w:val="00EB091B"/>
    <w:rsid w:val="00EB2989"/>
    <w:rsid w:val="00EB7DA1"/>
    <w:rsid w:val="00EC4C74"/>
    <w:rsid w:val="00EC6CD5"/>
    <w:rsid w:val="00EC7FDD"/>
    <w:rsid w:val="00ED701D"/>
    <w:rsid w:val="00EF7D6E"/>
    <w:rsid w:val="00F001A9"/>
    <w:rsid w:val="00F02E7C"/>
    <w:rsid w:val="00F0442B"/>
    <w:rsid w:val="00F04CBD"/>
    <w:rsid w:val="00F0740A"/>
    <w:rsid w:val="00F0755A"/>
    <w:rsid w:val="00F10F2F"/>
    <w:rsid w:val="00F13A85"/>
    <w:rsid w:val="00F14175"/>
    <w:rsid w:val="00F2587A"/>
    <w:rsid w:val="00F25DE5"/>
    <w:rsid w:val="00F2712A"/>
    <w:rsid w:val="00F3353E"/>
    <w:rsid w:val="00F34F3A"/>
    <w:rsid w:val="00F45231"/>
    <w:rsid w:val="00F46FC1"/>
    <w:rsid w:val="00F62213"/>
    <w:rsid w:val="00F75A67"/>
    <w:rsid w:val="00F801E1"/>
    <w:rsid w:val="00F80CD6"/>
    <w:rsid w:val="00F80FB1"/>
    <w:rsid w:val="00F8207B"/>
    <w:rsid w:val="00F841CF"/>
    <w:rsid w:val="00F84796"/>
    <w:rsid w:val="00F90E0C"/>
    <w:rsid w:val="00FA1DAC"/>
    <w:rsid w:val="00FA40D7"/>
    <w:rsid w:val="00FA4A4F"/>
    <w:rsid w:val="00FA6409"/>
    <w:rsid w:val="00FB5C49"/>
    <w:rsid w:val="00FD203E"/>
    <w:rsid w:val="00FE0570"/>
    <w:rsid w:val="00FE3CAA"/>
    <w:rsid w:val="00FF5E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6406"/>
  <w15:docId w15:val="{D394FC57-951F-436B-942A-7148252B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355"/>
    <w:pPr>
      <w:spacing w:before="120" w:after="120" w:line="340" w:lineRule="exact"/>
      <w:ind w:firstLine="567"/>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355"/>
    <w:pPr>
      <w:tabs>
        <w:tab w:val="center" w:pos="4680"/>
        <w:tab w:val="right" w:pos="9360"/>
      </w:tabs>
    </w:pPr>
  </w:style>
  <w:style w:type="character" w:customStyle="1" w:styleId="HeaderChar">
    <w:name w:val="Header Char"/>
    <w:basedOn w:val="DefaultParagraphFont"/>
    <w:link w:val="Header"/>
    <w:uiPriority w:val="99"/>
    <w:rsid w:val="005D7355"/>
    <w:rPr>
      <w:rFonts w:ascii="Times New Roman" w:eastAsia="Calibri" w:hAnsi="Times New Roman" w:cs="Times New Roman"/>
      <w:sz w:val="28"/>
    </w:rPr>
  </w:style>
  <w:style w:type="character" w:styleId="CommentReference">
    <w:name w:val="annotation reference"/>
    <w:basedOn w:val="DefaultParagraphFont"/>
    <w:uiPriority w:val="99"/>
    <w:semiHidden/>
    <w:unhideWhenUsed/>
    <w:rsid w:val="005D7355"/>
    <w:rPr>
      <w:sz w:val="16"/>
      <w:szCs w:val="16"/>
    </w:rPr>
  </w:style>
  <w:style w:type="paragraph" w:styleId="CommentText">
    <w:name w:val="annotation text"/>
    <w:basedOn w:val="Normal"/>
    <w:link w:val="CommentTextChar"/>
    <w:uiPriority w:val="99"/>
    <w:semiHidden/>
    <w:unhideWhenUsed/>
    <w:rsid w:val="005D7355"/>
    <w:pPr>
      <w:spacing w:line="240" w:lineRule="auto"/>
    </w:pPr>
    <w:rPr>
      <w:sz w:val="20"/>
      <w:szCs w:val="20"/>
    </w:rPr>
  </w:style>
  <w:style w:type="character" w:customStyle="1" w:styleId="CommentTextChar">
    <w:name w:val="Comment Text Char"/>
    <w:basedOn w:val="DefaultParagraphFont"/>
    <w:link w:val="CommentText"/>
    <w:uiPriority w:val="99"/>
    <w:semiHidden/>
    <w:rsid w:val="005D7355"/>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5D73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55"/>
    <w:rPr>
      <w:rFonts w:ascii="Segoe UI" w:eastAsia="Calibri" w:hAnsi="Segoe UI" w:cs="Segoe UI"/>
      <w:sz w:val="18"/>
      <w:szCs w:val="18"/>
    </w:rPr>
  </w:style>
  <w:style w:type="paragraph" w:styleId="Footer">
    <w:name w:val="footer"/>
    <w:basedOn w:val="Normal"/>
    <w:link w:val="FooterChar"/>
    <w:uiPriority w:val="99"/>
    <w:unhideWhenUsed/>
    <w:rsid w:val="00EA54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A54EE"/>
    <w:rPr>
      <w:rFonts w:ascii="Times New Roman" w:eastAsia="Calibri" w:hAnsi="Times New Roman" w:cs="Times New Roman"/>
      <w:sz w:val="28"/>
    </w:rPr>
  </w:style>
  <w:style w:type="paragraph" w:styleId="NormalWeb">
    <w:name w:val="Normal (Web)"/>
    <w:basedOn w:val="Normal"/>
    <w:uiPriority w:val="99"/>
    <w:semiHidden/>
    <w:unhideWhenUsed/>
    <w:rsid w:val="007103B8"/>
    <w:pPr>
      <w:spacing w:before="100" w:beforeAutospacing="1" w:after="100" w:afterAutospacing="1" w:line="240" w:lineRule="auto"/>
      <w:ind w:firstLine="0"/>
      <w:jc w:val="left"/>
    </w:pPr>
    <w:rPr>
      <w:rFonts w:eastAsia="Times New Roman"/>
      <w:sz w:val="24"/>
      <w:szCs w:val="24"/>
    </w:rPr>
  </w:style>
  <w:style w:type="character" w:styleId="Emphasis">
    <w:name w:val="Emphasis"/>
    <w:basedOn w:val="DefaultParagraphFont"/>
    <w:uiPriority w:val="20"/>
    <w:qFormat/>
    <w:rsid w:val="007103B8"/>
    <w:rPr>
      <w:i/>
      <w:iCs/>
    </w:rPr>
  </w:style>
  <w:style w:type="character" w:styleId="Strong">
    <w:name w:val="Strong"/>
    <w:basedOn w:val="DefaultParagraphFont"/>
    <w:uiPriority w:val="22"/>
    <w:qFormat/>
    <w:rsid w:val="007103B8"/>
    <w:rPr>
      <w:b/>
      <w:bCs/>
    </w:rPr>
  </w:style>
  <w:style w:type="paragraph" w:styleId="CommentSubject">
    <w:name w:val="annotation subject"/>
    <w:basedOn w:val="CommentText"/>
    <w:next w:val="CommentText"/>
    <w:link w:val="CommentSubjectChar"/>
    <w:uiPriority w:val="99"/>
    <w:semiHidden/>
    <w:unhideWhenUsed/>
    <w:rsid w:val="00B14D12"/>
    <w:rPr>
      <w:b/>
      <w:bCs/>
    </w:rPr>
  </w:style>
  <w:style w:type="character" w:customStyle="1" w:styleId="CommentSubjectChar">
    <w:name w:val="Comment Subject Char"/>
    <w:basedOn w:val="CommentTextChar"/>
    <w:link w:val="CommentSubject"/>
    <w:uiPriority w:val="99"/>
    <w:semiHidden/>
    <w:rsid w:val="00B14D12"/>
    <w:rPr>
      <w:rFonts w:ascii="Times New Roman" w:eastAsia="Calibri" w:hAnsi="Times New Roman" w:cs="Times New Roman"/>
      <w:b/>
      <w:bCs/>
      <w:sz w:val="20"/>
      <w:szCs w:val="20"/>
    </w:rPr>
  </w:style>
  <w:style w:type="paragraph" w:customStyle="1" w:styleId="s17">
    <w:name w:val="s17"/>
    <w:basedOn w:val="Normal"/>
    <w:rsid w:val="009927AB"/>
    <w:pPr>
      <w:spacing w:before="100" w:beforeAutospacing="1" w:after="100" w:afterAutospacing="1" w:line="240" w:lineRule="auto"/>
      <w:ind w:firstLine="0"/>
      <w:jc w:val="left"/>
    </w:pPr>
    <w:rPr>
      <w:rFonts w:eastAsia="Times New Roman"/>
      <w:sz w:val="24"/>
      <w:szCs w:val="24"/>
    </w:rPr>
  </w:style>
  <w:style w:type="character" w:customStyle="1" w:styleId="bumpedfont15">
    <w:name w:val="bumpedfont15"/>
    <w:basedOn w:val="DefaultParagraphFont"/>
    <w:rsid w:val="009927AB"/>
  </w:style>
  <w:style w:type="paragraph" w:styleId="ListParagraph">
    <w:name w:val="List Paragraph"/>
    <w:aliases w:val="List Paragraph (numbered (a)),Bullets,References,List Paragraph1,Recommendation,List Paragraph11,Bulleted List Paragraph,data item,Bullet list"/>
    <w:basedOn w:val="Normal"/>
    <w:link w:val="ListParagraphChar"/>
    <w:uiPriority w:val="34"/>
    <w:qFormat/>
    <w:rsid w:val="001A64AC"/>
    <w:pPr>
      <w:ind w:left="720"/>
      <w:contextualSpacing/>
    </w:pPr>
  </w:style>
  <w:style w:type="character" w:customStyle="1" w:styleId="ListParagraphChar">
    <w:name w:val="List Paragraph Char"/>
    <w:aliases w:val="List Paragraph (numbered (a)) Char,Bullets Char,References Char,List Paragraph1 Char,Recommendation Char,List Paragraph11 Char,Bulleted List Paragraph Char,data item Char,Bullet list Char"/>
    <w:basedOn w:val="DefaultParagraphFont"/>
    <w:link w:val="ListParagraph"/>
    <w:uiPriority w:val="34"/>
    <w:locked/>
    <w:rsid w:val="00DA18FF"/>
    <w:rPr>
      <w:rFonts w:ascii="Times New Roman" w:eastAsia="Calibri" w:hAnsi="Times New Roman" w:cs="Times New Roman"/>
      <w:sz w:val="28"/>
    </w:rPr>
  </w:style>
  <w:style w:type="paragraph" w:styleId="Revision">
    <w:name w:val="Revision"/>
    <w:hidden/>
    <w:uiPriority w:val="99"/>
    <w:semiHidden/>
    <w:rsid w:val="00D97CC0"/>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96923">
      <w:bodyDiv w:val="1"/>
      <w:marLeft w:val="0"/>
      <w:marRight w:val="0"/>
      <w:marTop w:val="0"/>
      <w:marBottom w:val="0"/>
      <w:divBdr>
        <w:top w:val="none" w:sz="0" w:space="0" w:color="auto"/>
        <w:left w:val="none" w:sz="0" w:space="0" w:color="auto"/>
        <w:bottom w:val="none" w:sz="0" w:space="0" w:color="auto"/>
        <w:right w:val="none" w:sz="0" w:space="0" w:color="auto"/>
      </w:divBdr>
    </w:div>
    <w:div w:id="490367335">
      <w:bodyDiv w:val="1"/>
      <w:marLeft w:val="0"/>
      <w:marRight w:val="0"/>
      <w:marTop w:val="0"/>
      <w:marBottom w:val="0"/>
      <w:divBdr>
        <w:top w:val="none" w:sz="0" w:space="0" w:color="auto"/>
        <w:left w:val="none" w:sz="0" w:space="0" w:color="auto"/>
        <w:bottom w:val="none" w:sz="0" w:space="0" w:color="auto"/>
        <w:right w:val="none" w:sz="0" w:space="0" w:color="auto"/>
      </w:divBdr>
    </w:div>
    <w:div w:id="615721548">
      <w:bodyDiv w:val="1"/>
      <w:marLeft w:val="0"/>
      <w:marRight w:val="0"/>
      <w:marTop w:val="0"/>
      <w:marBottom w:val="0"/>
      <w:divBdr>
        <w:top w:val="none" w:sz="0" w:space="0" w:color="auto"/>
        <w:left w:val="none" w:sz="0" w:space="0" w:color="auto"/>
        <w:bottom w:val="none" w:sz="0" w:space="0" w:color="auto"/>
        <w:right w:val="none" w:sz="0" w:space="0" w:color="auto"/>
      </w:divBdr>
    </w:div>
    <w:div w:id="720133708">
      <w:bodyDiv w:val="1"/>
      <w:marLeft w:val="0"/>
      <w:marRight w:val="0"/>
      <w:marTop w:val="0"/>
      <w:marBottom w:val="0"/>
      <w:divBdr>
        <w:top w:val="none" w:sz="0" w:space="0" w:color="auto"/>
        <w:left w:val="none" w:sz="0" w:space="0" w:color="auto"/>
        <w:bottom w:val="none" w:sz="0" w:space="0" w:color="auto"/>
        <w:right w:val="none" w:sz="0" w:space="0" w:color="auto"/>
      </w:divBdr>
    </w:div>
    <w:div w:id="757604555">
      <w:bodyDiv w:val="1"/>
      <w:marLeft w:val="0"/>
      <w:marRight w:val="0"/>
      <w:marTop w:val="0"/>
      <w:marBottom w:val="0"/>
      <w:divBdr>
        <w:top w:val="none" w:sz="0" w:space="0" w:color="auto"/>
        <w:left w:val="none" w:sz="0" w:space="0" w:color="auto"/>
        <w:bottom w:val="none" w:sz="0" w:space="0" w:color="auto"/>
        <w:right w:val="none" w:sz="0" w:space="0" w:color="auto"/>
      </w:divBdr>
    </w:div>
    <w:div w:id="794493878">
      <w:bodyDiv w:val="1"/>
      <w:marLeft w:val="0"/>
      <w:marRight w:val="0"/>
      <w:marTop w:val="0"/>
      <w:marBottom w:val="0"/>
      <w:divBdr>
        <w:top w:val="none" w:sz="0" w:space="0" w:color="auto"/>
        <w:left w:val="none" w:sz="0" w:space="0" w:color="auto"/>
        <w:bottom w:val="none" w:sz="0" w:space="0" w:color="auto"/>
        <w:right w:val="none" w:sz="0" w:space="0" w:color="auto"/>
      </w:divBdr>
      <w:divsChild>
        <w:div w:id="265892983">
          <w:marLeft w:val="0"/>
          <w:marRight w:val="0"/>
          <w:marTop w:val="0"/>
          <w:marBottom w:val="0"/>
          <w:divBdr>
            <w:top w:val="none" w:sz="0" w:space="0" w:color="auto"/>
            <w:left w:val="none" w:sz="0" w:space="0" w:color="auto"/>
            <w:bottom w:val="none" w:sz="0" w:space="0" w:color="auto"/>
            <w:right w:val="none" w:sz="0" w:space="0" w:color="auto"/>
          </w:divBdr>
        </w:div>
        <w:div w:id="1158770311">
          <w:marLeft w:val="0"/>
          <w:marRight w:val="0"/>
          <w:marTop w:val="0"/>
          <w:marBottom w:val="0"/>
          <w:divBdr>
            <w:top w:val="none" w:sz="0" w:space="0" w:color="auto"/>
            <w:left w:val="none" w:sz="0" w:space="0" w:color="auto"/>
            <w:bottom w:val="none" w:sz="0" w:space="0" w:color="auto"/>
            <w:right w:val="none" w:sz="0" w:space="0" w:color="auto"/>
          </w:divBdr>
        </w:div>
        <w:div w:id="1306617720">
          <w:marLeft w:val="0"/>
          <w:marRight w:val="0"/>
          <w:marTop w:val="0"/>
          <w:marBottom w:val="0"/>
          <w:divBdr>
            <w:top w:val="none" w:sz="0" w:space="0" w:color="auto"/>
            <w:left w:val="none" w:sz="0" w:space="0" w:color="auto"/>
            <w:bottom w:val="none" w:sz="0" w:space="0" w:color="auto"/>
            <w:right w:val="none" w:sz="0" w:space="0" w:color="auto"/>
          </w:divBdr>
        </w:div>
        <w:div w:id="325324332">
          <w:marLeft w:val="0"/>
          <w:marRight w:val="0"/>
          <w:marTop w:val="0"/>
          <w:marBottom w:val="0"/>
          <w:divBdr>
            <w:top w:val="none" w:sz="0" w:space="0" w:color="auto"/>
            <w:left w:val="none" w:sz="0" w:space="0" w:color="auto"/>
            <w:bottom w:val="none" w:sz="0" w:space="0" w:color="auto"/>
            <w:right w:val="none" w:sz="0" w:space="0" w:color="auto"/>
          </w:divBdr>
        </w:div>
      </w:divsChild>
    </w:div>
    <w:div w:id="817840535">
      <w:bodyDiv w:val="1"/>
      <w:marLeft w:val="0"/>
      <w:marRight w:val="0"/>
      <w:marTop w:val="0"/>
      <w:marBottom w:val="0"/>
      <w:divBdr>
        <w:top w:val="none" w:sz="0" w:space="0" w:color="auto"/>
        <w:left w:val="none" w:sz="0" w:space="0" w:color="auto"/>
        <w:bottom w:val="none" w:sz="0" w:space="0" w:color="auto"/>
        <w:right w:val="none" w:sz="0" w:space="0" w:color="auto"/>
      </w:divBdr>
    </w:div>
    <w:div w:id="864711498">
      <w:bodyDiv w:val="1"/>
      <w:marLeft w:val="0"/>
      <w:marRight w:val="0"/>
      <w:marTop w:val="0"/>
      <w:marBottom w:val="0"/>
      <w:divBdr>
        <w:top w:val="none" w:sz="0" w:space="0" w:color="auto"/>
        <w:left w:val="none" w:sz="0" w:space="0" w:color="auto"/>
        <w:bottom w:val="none" w:sz="0" w:space="0" w:color="auto"/>
        <w:right w:val="none" w:sz="0" w:space="0" w:color="auto"/>
      </w:divBdr>
    </w:div>
    <w:div w:id="1095445936">
      <w:bodyDiv w:val="1"/>
      <w:marLeft w:val="0"/>
      <w:marRight w:val="0"/>
      <w:marTop w:val="0"/>
      <w:marBottom w:val="0"/>
      <w:divBdr>
        <w:top w:val="none" w:sz="0" w:space="0" w:color="auto"/>
        <w:left w:val="none" w:sz="0" w:space="0" w:color="auto"/>
        <w:bottom w:val="none" w:sz="0" w:space="0" w:color="auto"/>
        <w:right w:val="none" w:sz="0" w:space="0" w:color="auto"/>
      </w:divBdr>
    </w:div>
    <w:div w:id="1176651569">
      <w:bodyDiv w:val="1"/>
      <w:marLeft w:val="0"/>
      <w:marRight w:val="0"/>
      <w:marTop w:val="0"/>
      <w:marBottom w:val="0"/>
      <w:divBdr>
        <w:top w:val="none" w:sz="0" w:space="0" w:color="auto"/>
        <w:left w:val="none" w:sz="0" w:space="0" w:color="auto"/>
        <w:bottom w:val="none" w:sz="0" w:space="0" w:color="auto"/>
        <w:right w:val="none" w:sz="0" w:space="0" w:color="auto"/>
      </w:divBdr>
    </w:div>
    <w:div w:id="1234241427">
      <w:bodyDiv w:val="1"/>
      <w:marLeft w:val="0"/>
      <w:marRight w:val="0"/>
      <w:marTop w:val="0"/>
      <w:marBottom w:val="0"/>
      <w:divBdr>
        <w:top w:val="none" w:sz="0" w:space="0" w:color="auto"/>
        <w:left w:val="none" w:sz="0" w:space="0" w:color="auto"/>
        <w:bottom w:val="none" w:sz="0" w:space="0" w:color="auto"/>
        <w:right w:val="none" w:sz="0" w:space="0" w:color="auto"/>
      </w:divBdr>
    </w:div>
    <w:div w:id="1490557369">
      <w:bodyDiv w:val="1"/>
      <w:marLeft w:val="0"/>
      <w:marRight w:val="0"/>
      <w:marTop w:val="0"/>
      <w:marBottom w:val="0"/>
      <w:divBdr>
        <w:top w:val="none" w:sz="0" w:space="0" w:color="auto"/>
        <w:left w:val="none" w:sz="0" w:space="0" w:color="auto"/>
        <w:bottom w:val="none" w:sz="0" w:space="0" w:color="auto"/>
        <w:right w:val="none" w:sz="0" w:space="0" w:color="auto"/>
      </w:divBdr>
    </w:div>
    <w:div w:id="1836912939">
      <w:bodyDiv w:val="1"/>
      <w:marLeft w:val="0"/>
      <w:marRight w:val="0"/>
      <w:marTop w:val="0"/>
      <w:marBottom w:val="0"/>
      <w:divBdr>
        <w:top w:val="none" w:sz="0" w:space="0" w:color="auto"/>
        <w:left w:val="none" w:sz="0" w:space="0" w:color="auto"/>
        <w:bottom w:val="none" w:sz="0" w:space="0" w:color="auto"/>
        <w:right w:val="none" w:sz="0" w:space="0" w:color="auto"/>
      </w:divBdr>
    </w:div>
    <w:div w:id="187819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15CF63-0813-48ED-86DC-902334CA1D78}">
  <ds:schemaRefs>
    <ds:schemaRef ds:uri="http://schemas.openxmlformats.org/officeDocument/2006/bibliography"/>
  </ds:schemaRefs>
</ds:datastoreItem>
</file>

<file path=customXml/itemProps2.xml><?xml version="1.0" encoding="utf-8"?>
<ds:datastoreItem xmlns:ds="http://schemas.openxmlformats.org/officeDocument/2006/customXml" ds:itemID="{CDB74F23-11C3-4600-8CB0-2EE4DFDF7B56}"/>
</file>

<file path=customXml/itemProps3.xml><?xml version="1.0" encoding="utf-8"?>
<ds:datastoreItem xmlns:ds="http://schemas.openxmlformats.org/officeDocument/2006/customXml" ds:itemID="{5A5882B0-9439-4B49-B47A-6C3B1FF7D9AE}"/>
</file>

<file path=customXml/itemProps4.xml><?xml version="1.0" encoding="utf-8"?>
<ds:datastoreItem xmlns:ds="http://schemas.openxmlformats.org/officeDocument/2006/customXml" ds:itemID="{DA464EE9-D3F8-41A2-AD5D-55BABCE485D1}"/>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Ba Minh</dc:creator>
  <cp:lastModifiedBy>BGD</cp:lastModifiedBy>
  <cp:revision>2</cp:revision>
  <cp:lastPrinted>2023-08-02T07:59:00Z</cp:lastPrinted>
  <dcterms:created xsi:type="dcterms:W3CDTF">2023-08-03T05:21:00Z</dcterms:created>
  <dcterms:modified xsi:type="dcterms:W3CDTF">2023-08-03T05:21:00Z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