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20"/>
        <w:gridCol w:w="3990"/>
        <w:tblGridChange w:id="0">
          <w:tblGrid>
            <w:gridCol w:w="4920"/>
            <w:gridCol w:w="399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ỦY BAN NHÂN DÂN TỈNH, THÀNH PHỐ:…</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right"/>
              <w:rPr>
                <w:b w:val="1"/>
                <w:bCs w:val="1"/>
                <w:sz w:val="18"/>
                <w:szCs w:val="18"/>
              </w:rPr>
            </w:pPr>
            <w:r w:rsidDel="00000000" w:rsidR="00000000" w:rsidRPr="00000000">
              <w:rPr>
                <w:b w:val="1"/>
                <w:bCs w:val="1"/>
                <w:sz w:val="18"/>
                <w:szCs w:val="18"/>
                <w:rtl w:val="0"/>
              </w:rPr>
              <w:t xml:space="preserve">Biểu số 4a</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NGUỒN KINH PHÍ ĐỂ THỰC HIỆN CẢI CÁCH TIỀN LƯƠNG NĂM 2026</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(Kèm theo Thông tư số 66/2026/TT-BTC ngày 16 tháng 6 năm 2026 của Bộ trưởng Bộ Tài chính)</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Đơn vị: triệu đồng</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6855"/>
        <w:gridCol w:w="1215"/>
        <w:tblGridChange w:id="0">
          <w:tblGrid>
            <w:gridCol w:w="840"/>
            <w:gridCol w:w="6855"/>
            <w:gridCol w:w="1215"/>
          </w:tblGrid>
        </w:tblGridChange>
      </w:tblGrid>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NỘI DUNG</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TIỀN</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A</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NGUỒN THỰC HIỆN CẢI CÁCH TIỀN LƯƠNG NĂM 2026</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41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70% tăng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thực hiện 2025 so dự toán Thủ tướng Chính phủ giao năm 2025</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41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50% tăng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2026 so dự toán năm 2025 Thủ tướng Chính phủ giao</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41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50% tăng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2025 so dự toán năm 2024 Thủ tướng Chính phủ giao</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42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50% tăng thu NSĐP (không kể thu tiền sử dụng đất, thu xổ số kiến thiết, thu cổ phần hóa và thoái vốn nhà nước tại doanh nghiệp do địa phương quản lý, các khoản loại trừ theo quy định tại khoản 2 Điều 3 của Nghị quyết số 34/2021/QH15 ngày 13 tháng 11 năm 2021 của Quốc hội) dự toán 2024 so dự toán năm 2023 Thủ tướng Chính phủ giao</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tiết kiệm 10% chi thường xuyên dự toán năm 2023</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tiết kiệm 10% chi thường xuyên tăng thêm dự toán năm 2024 so dự toán năm 2023</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tiết kiệm 10% chi thường xuyên tăng thêm dự toán năm 2025 so dự toán năm 2024</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8</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tiết kiệm 10% chi thường xuyên tăng thêm dự toán năm 2026 so dự toán năm 2025</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06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9</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Số thu được huy động từ nguồn để lại đơn vị năm 2026 (các đơn vị chưa tự đảm bảo chi thường xuyên) :</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Học phí</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85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Viện phí</w:t>
            </w:r>
          </w:p>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Nguồn thu khác</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94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10</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tiết kiệm chi hỗ trợ hoạt động thường xuyên (chi tiền lương và chi hoạt động theo quy định của pháp luật) do tinh giản biên chế, sắp xếp tổ chức bộ máy thực hiện mô hình chính quyền địa phương 02 cấp</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Nguồn thực hiện cải cách tiền lương năm 2025 chưa sử dụng hết chuyển sang năm 2026</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30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Nguồn thực hiện cải cách tiền lương năm 2025 còn dư theo thông báo của Bộ Tài chính</w:t>
            </w:r>
          </w:p>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Điều chỉnh tăng/giảm nguồn cải cách tiền lương theo kết luận của cơ quan Thanh tra, Kiểm toán</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B</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NHU CẦU NĂM 2026</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I</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nhu cầu kinh phí tăng thêm để thực hiện cải cách tiền lương theo Nghị định số 24/2023/NĐ-CP và Nghị định số 42/2023/NĐ-CP (tính đủ 12 tháng)</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II</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nhu cầu kinh phí tăng thêm để thực hiện cải cách tiền lương theo Nghị định số 73/2024/NĐ-CP và Nghị định số 75/2024/NĐ-CP (tính đủ 12 tháng)</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III</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Tổng nhu cầu kinh phí tăng thêm để thực hiện cải cách tiền lương theo Nghị định số 161/2026/NĐ-CP và Nghị định số 162/2026/NĐ-CP (6 tháng)</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Quỹ tiền lương, phụ cấp, các khoản đóng góp tăng thêm đối với cán bộ, công chức, viên chức, người làm việc trong khu vực hành chính sự nghiệp</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Hoạt động phí tăng thêm đối với đại biểu hội đồng nhân dân các cấp</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Quỹ trợ cấp tăng thêm đối với cán bộ xã nghỉ việc hưởng trợ cấp hàng tháng theo NĐ 162/2026/NĐ-CP</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tăng thêm thực hiện chế độ đối với cán bộ không chuyên trách ở thôn và tổ dân phố</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tăng thêm để thực hiện phụ cấp trách nhiệm đối với cấp ủy viên các cấp theo QĐ số 169-QĐ/TW ngày 24/6/2008</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tăng thêm thực hiện chế độ bồi dưỡng phục vụ hoạt động cấp ủy thuộc cấp tỉnh theo Quy định 09-QĐ/VPTW ngày 22/9/2017</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IV</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Nhu cầu thực hiện một số loại phụ cấp, trợ cấp theo quy định:</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Nhu cầu kinh phí thực hiện chính sách tinh giản biên chế năm 2026 theo Nghị định số 154/2025/NĐ-CP ngày 15/6/2025 của Chính phủ</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Nhu cầu kinh phí thực hiện chính sách nghỉ hưu trước tuổi năm 2026 theo NĐ số 177/2024/NĐ-CP ngày 31/12/2024 của Chính phủ</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Nhu cầu kinh phí tăng thêm thực hiện chế độ thù lao đối với người đã nghỉ hưu giữ chức danh lãnh đạo Hội đặc thù</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960"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Nhu cầu kinh phí tăng thêm thực hiện chế độ trợ cấp lần đầu đến nhận công tác tại vùng ĐBKK, trợ cấp 1 lần khi chuyển công tác ra khỏi vùng ĐBKK theo Nghị định số 76/2019/NĐ-CP ngày 08/10/2019 của Chính phủ</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tăng/giảm so với số liệu đã tính định mức chi thường xuyên do thực hiện Nghị định số 33/2023/NĐ-CP ngày 10/6/2023 của Chính phủ</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118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Kinh phí tăng thêm (từ mức lương cơ sở 1,49 triệu đồng/tháng lên mức lương cơ sở 2,34 triệu đồng/tháng) thực hiện chi trả tiền lương, phụ cấp, các khoản đóng góp đối với số biên chế giáo viên tăng thêm năm học 2024-2025 theo Quyết định của Ban Tổ chức Trung ương về việc giao biên chế năm 2025</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Các khoản phụ cấp, trợ cấp khác (nếu có)</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V</w:t>
            </w:r>
          </w:p>
        </w:tc>
        <w:tc>
          <w:tcPr>
            <w:tcBorders>
              <w:top w:color="000000" w:space="0" w:sz="5" w:val="single"/>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Quỹ tiền thưởng</w:t>
            </w:r>
          </w:p>
        </w:tc>
        <w:tc>
          <w:tcPr>
            <w:tcBorders>
              <w:top w:color="000000" w:space="0" w:sz="5" w:val="single"/>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w:t>
            </w:r>
          </w:p>
        </w:tc>
        <w:tc>
          <w:tcPr>
            <w:tcBorders>
              <w:top w:color="000000" w:space="0" w:sz="5" w:val="single"/>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b w:val="1"/>
                <w:bCs w:val="1"/>
                <w:sz w:val="18"/>
                <w:szCs w:val="18"/>
              </w:rPr>
            </w:pPr>
            <w:r w:rsidDel="00000000" w:rsidR="00000000" w:rsidRPr="00000000">
              <w:rPr>
                <w:b w:val="1"/>
                <w:bCs w:val="1"/>
                <w:sz w:val="18"/>
                <w:szCs w:val="18"/>
                <w:rtl w:val="0"/>
              </w:rPr>
              <w:t xml:space="preserve">CHÊNH LỆCH NHU CẦU VÀ NGUỒN NĂM 2026</w:t>
            </w:r>
          </w:p>
        </w:tc>
        <w:tc>
          <w:tcPr>
            <w:tcBorders>
              <w:top w:color="000000" w:space="0" w:sz="5" w:val="single"/>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5" w:val="single"/>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Phần thiếu nguồn ngân sách trung ương hỗ trợ.</w:t>
            </w:r>
          </w:p>
        </w:tc>
        <w:tc>
          <w:tcPr>
            <w:tcBorders>
              <w:top w:color="000000" w:space="0" w:sz="0" w:val="nil"/>
              <w:left w:color="000000" w:space="0" w:sz="5" w:val="single"/>
              <w:bottom w:color="000000" w:space="0" w:sz="0" w:val="nil"/>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5" w:val="single"/>
              <w:bottom w:color="000000" w:space="0" w:sz="5" w:val="single"/>
              <w:right w:color="000000" w:space="0" w:sz="0" w:val="nil"/>
            </w:tcBorders>
            <w:tcMar>
              <w:top w:w="0.0" w:type="dxa"/>
              <w:left w:w="20.0" w:type="dxa"/>
              <w:bottom w:w="0.0" w:type="dxa"/>
              <w:right w:w="2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Nguồn thực hiện cải cách tiền lương còn dư</w:t>
            </w:r>
          </w:p>
        </w:tc>
        <w:tc>
          <w:tcPr>
            <w:tcBorders>
              <w:top w:color="000000" w:space="0" w:sz="0" w:val="nil"/>
              <w:left w:color="000000" w:space="0" w:sz="5" w:val="single"/>
              <w:bottom w:color="000000" w:space="0" w:sz="5" w:val="single"/>
              <w:right w:color="000000" w:space="0" w:sz="5" w:val="single"/>
            </w:tcBorders>
            <w:tcMar>
              <w:top w:w="0.0" w:type="dxa"/>
              <w:left w:w="20.0" w:type="dxa"/>
              <w:bottom w:w="0.0" w:type="dxa"/>
              <w:right w:w="2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7D">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b w:val="1"/>
          <w:bCs w:val="1"/>
          <w:i w:val="1"/>
          <w:iCs w:val="1"/>
          <w:sz w:val="18"/>
          <w:szCs w:val="18"/>
          <w:rtl w:val="0"/>
        </w:rPr>
        <w:t xml:space="preserve">Ghi chú:</w:t>
      </w:r>
      <w:r w:rsidDel="00000000" w:rsidR="00000000" w:rsidRPr="00000000">
        <w:rPr>
          <w:i w:val="1"/>
          <w:iCs w:val="1"/>
          <w:sz w:val="18"/>
          <w:szCs w:val="18"/>
          <w:rtl w:val="0"/>
        </w:rPr>
        <w:t xml:space="preserve"> Không tổng hợp nhu cầu, nguồn CCTL của các ĐVSNCL nhóm 1, nhóm 2</w:t>
      </w:r>
    </w:p>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6510"/>
        <w:tblGridChange w:id="0">
          <w:tblGrid>
            <w:gridCol w:w="2400"/>
            <w:gridCol w:w="651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ngày........tháng........năm......</w:t>
              <w:br w:type="textWrapping"/>
            </w:r>
            <w:r w:rsidDel="00000000" w:rsidR="00000000" w:rsidRPr="00000000">
              <w:rPr>
                <w:b w:val="1"/>
                <w:bCs w:val="1"/>
                <w:sz w:val="18"/>
                <w:szCs w:val="18"/>
                <w:rtl w:val="0"/>
              </w:rPr>
              <w:t xml:space="preserve">CHỦ TỊCH ỦY BAN NHÂN DÂN TỈNH, THÀNH PHỐ</w:t>
              <w:br w:type="textWrapping"/>
            </w:r>
            <w:r w:rsidDel="00000000" w:rsidR="00000000" w:rsidRPr="00000000">
              <w:rPr>
                <w:i w:val="1"/>
                <w:iCs w:val="1"/>
                <w:sz w:val="18"/>
                <w:szCs w:val="18"/>
                <w:rtl w:val="0"/>
              </w:rPr>
              <w:t xml:space="preserve">(Ký tên, đóng dấu)</w:t>
            </w:r>
          </w:p>
        </w:tc>
      </w:tr>
    </w:tbl>
    <w:p w:rsidR="00000000" w:rsidDel="00000000" w:rsidP="00000000" w:rsidRDefault="00000000" w:rsidRPr="00000000" w14:paraId="0000008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