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color w:val="000000"/>
        </w:rPr>
      </w:pPr>
      <w:r>
        <w:rPr>
          <w:color w:val="000000"/>
        </w:rPr>
      </w:r>
    </w:p>
    <w:tbl>
      <w:tblPr>
        <w:tblW w:w="10050" w:type="dxa"/>
        <w:jc w:val="center"/>
        <w:tblInd w:w="0" w:type="dxa"/>
        <w:tblLayout w:type="fixed"/>
        <w:tblCellMar>
          <w:top w:w="0" w:type="dxa"/>
          <w:left w:w="108" w:type="dxa"/>
          <w:bottom w:w="0" w:type="dxa"/>
          <w:right w:w="108" w:type="dxa"/>
        </w:tblCellMar>
      </w:tblPr>
      <w:tblGrid>
        <w:gridCol w:w="3930"/>
        <w:gridCol w:w="6120"/>
      </w:tblGrid>
      <w:tr>
        <w:trPr/>
        <w:tc>
          <w:tcPr>
            <w:tcW w:w="3930" w:type="dxa"/>
            <w:tcBorders/>
          </w:tcPr>
          <w:p>
            <w:pPr>
              <w:pStyle w:val="Normal"/>
              <w:ind w:left="-41" w:right="-41"/>
              <w:jc w:val="center"/>
              <w:rPr>
                <w:b/>
                <w:color w:val="000000"/>
                <w:sz w:val="28"/>
                <w:szCs w:val="28"/>
                <w:lang w:val="vi-VN"/>
              </w:rPr>
            </w:pPr>
            <w:r>
              <w:rPr>
                <w:b/>
                <w:color w:val="000000"/>
                <w:sz w:val="28"/>
                <w:szCs w:val="28"/>
                <w:lang w:val="vi-VN"/>
              </w:rPr>
              <w:t>HỘI ĐỒNG NHÂN DÂN</w:t>
            </w:r>
          </w:p>
          <w:p>
            <w:pPr>
              <w:pStyle w:val="Normal"/>
              <w:ind w:left="-41" w:right="-41"/>
              <w:jc w:val="center"/>
              <w:rPr>
                <w:b/>
                <w:color w:val="000000"/>
                <w:sz w:val="28"/>
                <w:szCs w:val="28"/>
              </w:rPr>
            </w:pPr>
            <w:r>
              <w:rPr>
                <w:b/>
                <w:color w:val="000000"/>
                <w:sz w:val="28"/>
                <w:szCs w:val="28"/>
                <w:lang w:val="vi-VN"/>
              </w:rPr>
              <w:t xml:space="preserve">THÀNH PHỐ </w:t>
            </w:r>
            <w:r>
              <w:rPr>
                <w:b/>
                <w:color w:val="000000"/>
                <w:sz w:val="28"/>
                <w:szCs w:val="28"/>
              </w:rPr>
              <w:t>HỒ CHÍ MINH</w:t>
            </w:r>
          </w:p>
          <w:p>
            <w:pPr>
              <w:pStyle w:val="Normal"/>
              <w:ind w:left="-41" w:right="-41"/>
              <w:jc w:val="center"/>
              <w:rPr>
                <w:color w:val="000000"/>
                <w:sz w:val="26"/>
                <w:lang w:val="vi-VN"/>
              </w:rPr>
            </w:pPr>
            <w:r>
              <w:rPr>
                <w:b/>
                <w:color w:val="000000"/>
                <w:sz w:val="26"/>
                <w:szCs w:val="28"/>
                <w:lang w:val="vi-VN" w:eastAsia="vi-VN"/>
              </w:rPr>
              <mc:AlternateContent>
                <mc:Choice Requires="wps">
                  <w:drawing>
                    <wp:anchor distT="0" distB="0" distL="114935" distR="114935" simplePos="0" relativeHeight="3" behindDoc="0" locked="0" layoutInCell="1" allowOverlap="1">
                      <wp:simplePos x="0" y="0"/>
                      <wp:positionH relativeFrom="column">
                        <wp:posOffset>657225</wp:posOffset>
                      </wp:positionH>
                      <wp:positionV relativeFrom="paragraph">
                        <wp:posOffset>77470</wp:posOffset>
                      </wp:positionV>
                      <wp:extent cx="1007745" cy="0"/>
                      <wp:effectExtent l="0" t="5080" r="0" b="5080"/>
                      <wp:wrapNone/>
                      <wp:docPr id="1" name=""/>
                      <a:graphic xmlns:a="http://schemas.openxmlformats.org/drawingml/2006/main">
                        <a:graphicData uri="http://schemas.microsoft.com/office/word/2010/wordprocessingShape">
                          <wps:wsp>
                            <wps:cNvSpPr/>
                            <wps:spPr>
                              <a:xfrm>
                                <a:off x="0" y="0"/>
                                <a:ext cx="1007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51.75pt,6.1pt" to="131.05pt,6.1pt" stroked="t" o:allowincell="t" style="position:absolute">
                      <v:stroke color="black" weight="9360" joinstyle="miter" endcap="flat"/>
                      <v:fill o:detectmouseclick="t" on="false"/>
                      <w10:wrap type="none"/>
                    </v:line>
                  </w:pict>
                </mc:Fallback>
              </mc:AlternateContent>
            </w:r>
          </w:p>
          <w:p>
            <w:pPr>
              <w:pStyle w:val="Normal"/>
              <w:ind w:left="-41" w:right="-41"/>
              <w:jc w:val="center"/>
              <w:rPr>
                <w:color w:val="000000"/>
                <w:sz w:val="28"/>
                <w:szCs w:val="28"/>
                <w:lang w:val="vi-VN"/>
              </w:rPr>
            </w:pPr>
            <w:r>
              <w:rPr>
                <w:color w:val="000000"/>
                <w:sz w:val="28"/>
                <w:szCs w:val="28"/>
                <w:lang w:val="vi-VN"/>
              </w:rPr>
              <w:t>Số:         /20</w:t>
            </w:r>
            <w:r>
              <w:rPr>
                <w:color w:val="000000"/>
                <w:sz w:val="28"/>
                <w:szCs w:val="28"/>
              </w:rPr>
              <w:t>26</w:t>
            </w:r>
            <w:r>
              <w:rPr>
                <w:color w:val="000000"/>
                <w:sz w:val="28"/>
                <w:szCs w:val="28"/>
                <w:lang w:val="vi-VN"/>
              </w:rPr>
              <w:t>/NQ-HĐND</w:t>
            </w:r>
          </w:p>
        </w:tc>
        <w:tc>
          <w:tcPr>
            <w:tcW w:w="6120" w:type="dxa"/>
            <w:tcBorders/>
          </w:tcPr>
          <w:p>
            <w:pPr>
              <w:pStyle w:val="Normal"/>
              <w:jc w:val="center"/>
              <w:rPr>
                <w:b/>
                <w:color w:val="000000"/>
                <w:sz w:val="28"/>
                <w:szCs w:val="28"/>
                <w:lang w:val="vi-VN"/>
              </w:rPr>
            </w:pPr>
            <w:r>
              <w:rPr>
                <w:b/>
                <w:color w:val="000000"/>
                <w:sz w:val="28"/>
                <w:szCs w:val="28"/>
                <w:lang w:val="vi-VN"/>
              </w:rPr>
              <w:t>CỘNG HÒA XÃ HỘI CHỦ NGHĨA VIỆT NAM</w:t>
            </w:r>
          </w:p>
          <w:p>
            <w:pPr>
              <w:pStyle w:val="Heading3"/>
              <w:spacing w:before="0" w:after="0"/>
              <w:ind w:hanging="0" w:left="0"/>
              <w:rPr>
                <w:rFonts w:ascii="Times New Roman" w:hAnsi="Times New Roman" w:cs="Times New Roman"/>
                <w:color w:val="000000"/>
                <w:lang w:val="vi-VN"/>
              </w:rPr>
            </w:pPr>
            <w:r>
              <w:rPr>
                <w:rFonts w:cs="Times New Roman" w:ascii="Times New Roman" w:hAnsi="Times New Roman"/>
                <w:color w:val="000000"/>
                <w:lang w:val="vi-VN"/>
              </w:rPr>
              <w:t>Độc lập - Tự do - Hạnh phúc</w:t>
            </w:r>
          </w:p>
          <w:p>
            <w:pPr>
              <w:pStyle w:val="Normal"/>
              <w:jc w:val="center"/>
              <w:rPr>
                <w:color w:val="000000"/>
                <w:sz w:val="26"/>
                <w:lang w:val="vi-VN"/>
              </w:rPr>
            </w:pPr>
            <w:r>
              <w:rPr>
                <w:rFonts w:cs="Times New Roman"/>
                <w:color w:val="000000"/>
                <w:sz w:val="26"/>
                <w:lang w:val="vi-VN" w:eastAsia="vi-VN"/>
              </w:rPr>
              <mc:AlternateContent>
                <mc:Choice Requires="wps">
                  <w:drawing>
                    <wp:anchor distT="0" distB="0" distL="114935" distR="114935" simplePos="0" relativeHeight="2" behindDoc="0" locked="0" layoutInCell="1" allowOverlap="1">
                      <wp:simplePos x="0" y="0"/>
                      <wp:positionH relativeFrom="column">
                        <wp:posOffset>827405</wp:posOffset>
                      </wp:positionH>
                      <wp:positionV relativeFrom="paragraph">
                        <wp:posOffset>75565</wp:posOffset>
                      </wp:positionV>
                      <wp:extent cx="2076450" cy="0"/>
                      <wp:effectExtent l="0" t="5080" r="0" b="5080"/>
                      <wp:wrapNone/>
                      <wp:docPr id="2" name=""/>
                      <a:graphic xmlns:a="http://schemas.openxmlformats.org/drawingml/2006/main">
                        <a:graphicData uri="http://schemas.microsoft.com/office/word/2010/wordprocessingShape">
                          <wps:wsp>
                            <wps:cNvSpPr/>
                            <wps:spPr>
                              <a:xfrm>
                                <a:off x="0" y="0"/>
                                <a:ext cx="2076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65.15pt,5.95pt" to="228.6pt,5.95pt" stroked="t" o:allowincell="t" style="position:absolute">
                      <v:stroke color="black" weight="9360" joinstyle="miter" endcap="flat"/>
                      <v:fill o:detectmouseclick="t" on="false"/>
                      <w10:wrap type="none"/>
                    </v:line>
                  </w:pict>
                </mc:Fallback>
              </mc:AlternateContent>
            </w:r>
          </w:p>
          <w:p>
            <w:pPr>
              <w:pStyle w:val="Normal"/>
              <w:jc w:val="center"/>
              <w:rPr>
                <w:i/>
                <w:color w:val="000000"/>
                <w:sz w:val="28"/>
                <w:szCs w:val="28"/>
              </w:rPr>
            </w:pPr>
            <w:r>
              <w:rPr>
                <w:i/>
                <w:color w:val="000000"/>
                <w:sz w:val="26"/>
                <w:lang w:val="vi-VN"/>
              </w:rPr>
              <w:t xml:space="preserve">       </w:t>
            </w:r>
            <w:r>
              <w:rPr>
                <w:i/>
                <w:color w:val="000000"/>
                <w:sz w:val="26"/>
              </w:rPr>
              <w:t>Thành phố Hồ Chí Minh</w:t>
            </w:r>
            <w:r>
              <w:rPr>
                <w:i/>
                <w:color w:val="000000"/>
                <w:sz w:val="28"/>
                <w:szCs w:val="28"/>
                <w:lang w:val="vi-VN"/>
              </w:rPr>
              <w:t xml:space="preserve">, ngày   tháng </w:t>
            </w:r>
            <w:r>
              <w:rPr>
                <w:i/>
                <w:color w:val="000000"/>
                <w:sz w:val="28"/>
                <w:szCs w:val="28"/>
              </w:rPr>
              <w:t xml:space="preserve"> </w:t>
            </w:r>
            <w:r>
              <w:rPr>
                <w:i/>
                <w:color w:val="000000"/>
                <w:sz w:val="28"/>
                <w:szCs w:val="28"/>
                <w:lang w:val="vi-VN"/>
              </w:rPr>
              <w:t xml:space="preserve"> năm 20</w:t>
            </w:r>
            <w:r>
              <w:rPr>
                <w:i/>
                <w:color w:val="000000"/>
                <w:sz w:val="28"/>
                <w:szCs w:val="28"/>
              </w:rPr>
              <w:t>26</w:t>
            </w:r>
          </w:p>
        </w:tc>
      </w:tr>
    </w:tbl>
    <w:p>
      <w:pPr>
        <w:pStyle w:val="Heading1"/>
        <w:ind w:hanging="0" w:left="0"/>
        <w:rPr>
          <w:rFonts w:ascii="Times New Roman" w:hAnsi="Times New Roman" w:cs="Times New Roman"/>
          <w:i/>
          <w:color w:val="000000"/>
          <w:sz w:val="28"/>
          <w:u w:val="single"/>
          <w:lang w:val="vi-VN"/>
        </w:rPr>
      </w:pPr>
      <w:r>
        <w:rPr>
          <w:rFonts w:cs="Times New Roman" w:ascii="Times New Roman" w:hAnsi="Times New Roman"/>
          <w:i/>
          <w:color w:val="000000"/>
          <w:sz w:val="28"/>
          <w:u w:val="single"/>
          <w:lang w:val="vi-VN" w:eastAsia="vi-VN"/>
        </w:rPr>
      </w:r>
      <w:r>
        <mc:AlternateContent>
          <mc:Choice Requires="wps">
            <w:drawing>
              <wp:anchor distT="0" distB="0" distL="114935" distR="114935" simplePos="0" relativeHeight="4" behindDoc="0" locked="0" layoutInCell="1" allowOverlap="1">
                <wp:simplePos x="0" y="0"/>
                <wp:positionH relativeFrom="column">
                  <wp:posOffset>-84455</wp:posOffset>
                </wp:positionH>
                <wp:positionV relativeFrom="paragraph">
                  <wp:posOffset>186690</wp:posOffset>
                </wp:positionV>
                <wp:extent cx="942340" cy="323215"/>
                <wp:effectExtent l="0" t="0" r="0" b="0"/>
                <wp:wrapNone/>
                <wp:docPr id="3" name="Frame1"/>
                <a:graphic xmlns:a="http://schemas.openxmlformats.org/drawingml/2006/main">
                  <a:graphicData uri="http://schemas.microsoft.com/office/word/2010/wordprocessingShape">
                    <wps:wsp>
                      <wps:cNvSpPr txBox="1"/>
                      <wps:spPr>
                        <a:xfrm>
                          <a:off x="0" y="0"/>
                          <a:ext cx="942340" cy="323215"/>
                        </a:xfrm>
                        <a:prstGeom prst="rect"/>
                        <a:solidFill>
                          <a:srgbClr val="FFFFFF"/>
                        </a:solidFill>
                        <a:ln w="9525">
                          <a:solidFill>
                            <a:srgbClr val="000000"/>
                          </a:solidFill>
                        </a:ln>
                      </wps:spPr>
                      <wps:txbx>
                        <w:txbxContent>
                          <w:p>
                            <w:pPr>
                              <w:pStyle w:val="Normal"/>
                              <w:rPr>
                                <w:b/>
                                <w:bCs/>
                              </w:rPr>
                            </w:pPr>
                            <w:r>
                              <w:rPr>
                                <w:b/>
                                <w:bCs/>
                              </w:rPr>
                              <w:t>DỰ THẢO</w:t>
                            </w:r>
                          </w:p>
                        </w:txbxContent>
                      </wps:txbx>
                      <wps:bodyPr anchor="t" lIns="91440" tIns="45720" rIns="91440" bIns="45720">
                        <a:noAutofit/>
                      </wps:bodyPr>
                    </wps:wsp>
                  </a:graphicData>
                </a:graphic>
              </wp:anchor>
            </w:drawing>
          </mc:Choice>
          <mc:Fallback>
            <w:pict>
              <v:rect fillcolor="#FFFFFF" strokecolor="#000000" strokeweight="0pt" style="position:absolute;rotation:-0;width:74.2pt;height:25.45pt;mso-wrap-distance-left:9.05pt;mso-wrap-distance-right:9.05pt;mso-wrap-distance-top:0pt;mso-wrap-distance-bottom:0pt;margin-top:14.7pt;mso-position-vertical-relative:text;margin-left:-6.65pt;mso-position-horizontal-relative:text">
                <v:textbox>
                  <w:txbxContent>
                    <w:p>
                      <w:pPr>
                        <w:pStyle w:val="Normal"/>
                        <w:rPr>
                          <w:b/>
                          <w:bCs/>
                        </w:rPr>
                      </w:pPr>
                      <w:r>
                        <w:rPr>
                          <w:b/>
                          <w:bCs/>
                        </w:rPr>
                        <w:t>DỰ THẢO</w:t>
                      </w:r>
                    </w:p>
                  </w:txbxContent>
                </v:textbox>
                <w10:wrap type="none"/>
              </v:rect>
            </w:pict>
          </mc:Fallback>
        </mc:AlternateContent>
      </w:r>
    </w:p>
    <w:p>
      <w:pPr>
        <w:pStyle w:val="Heading1"/>
        <w:ind w:hanging="0" w:left="0"/>
        <w:jc w:val="center"/>
        <w:rPr>
          <w:rFonts w:ascii="Times New Roman" w:hAnsi="Times New Roman" w:cs="Times New Roman"/>
          <w:i/>
          <w:color w:val="000000"/>
          <w:sz w:val="28"/>
          <w:szCs w:val="28"/>
          <w:u w:val="single"/>
          <w:lang w:val="vi-VN"/>
        </w:rPr>
      </w:pPr>
      <w:r>
        <w:rPr>
          <w:rFonts w:cs="Times New Roman" w:ascii="Times New Roman" w:hAnsi="Times New Roman"/>
          <w:i/>
          <w:color w:val="000000"/>
          <w:sz w:val="28"/>
          <w:szCs w:val="28"/>
          <w:u w:val="single"/>
          <w:lang w:val="vi-VN"/>
        </w:rPr>
      </w:r>
    </w:p>
    <w:p>
      <w:pPr>
        <w:pStyle w:val="Heading1"/>
        <w:spacing w:before="0" w:after="120"/>
        <w:ind w:hanging="0" w:left="0"/>
        <w:jc w:val="center"/>
        <w:rPr>
          <w:rFonts w:ascii="Times New Roman" w:hAnsi="Times New Roman" w:cs="Times New Roman"/>
          <w:color w:val="000000"/>
          <w:sz w:val="28"/>
          <w:szCs w:val="28"/>
          <w:lang w:val="vi-VN"/>
        </w:rPr>
      </w:pPr>
      <w:r>
        <w:rPr>
          <w:rFonts w:cs="Times New Roman" w:ascii="Times New Roman" w:hAnsi="Times New Roman"/>
          <w:color w:val="000000"/>
          <w:sz w:val="28"/>
          <w:szCs w:val="28"/>
          <w:lang w:val="vi-VN"/>
        </w:rPr>
        <w:t>NGHỊ QUYẾT</w:t>
      </w:r>
    </w:p>
    <w:p>
      <w:pPr>
        <w:pStyle w:val="Normal"/>
        <w:jc w:val="center"/>
        <w:rPr>
          <w:b/>
          <w:color w:val="000000"/>
          <w:sz w:val="28"/>
          <w:szCs w:val="28"/>
        </w:rPr>
      </w:pPr>
      <w:bookmarkStart w:id="0" w:name="_Hlk211912530"/>
      <w:r>
        <w:rPr>
          <w:rFonts w:eastAsia="Calibri"/>
          <w:b/>
          <w:color w:val="000000"/>
          <w:sz w:val="28"/>
          <w:szCs w:val="28"/>
          <w:lang w:val="vi-VN"/>
        </w:rPr>
        <w:t xml:space="preserve">Quy định </w:t>
      </w:r>
      <w:r>
        <w:rPr>
          <w:rFonts w:eastAsia="Calibri"/>
          <w:b/>
          <w:color w:val="000000"/>
          <w:sz w:val="28"/>
          <w:szCs w:val="28"/>
        </w:rPr>
        <w:t>về</w:t>
      </w:r>
      <w:r>
        <w:rPr>
          <w:rFonts w:eastAsia="Calibri"/>
          <w:b/>
          <w:color w:val="000000"/>
          <w:sz w:val="28"/>
          <w:szCs w:val="28"/>
          <w:lang w:val="vi-VN"/>
        </w:rPr>
        <w:t xml:space="preserve"> </w:t>
      </w:r>
      <w:bookmarkEnd w:id="0"/>
      <w:r>
        <w:rPr>
          <w:b/>
          <w:color w:val="000000"/>
          <w:sz w:val="28"/>
          <w:szCs w:val="28"/>
        </w:rPr>
        <w:t xml:space="preserve">mức thu </w:t>
      </w:r>
      <w:bookmarkStart w:id="1" w:name="khoan_5_3"/>
      <w:r>
        <w:rPr>
          <w:b/>
          <w:color w:val="000000"/>
          <w:sz w:val="28"/>
          <w:szCs w:val="28"/>
          <w:shd w:fill="FFFFFF" w:val="clear"/>
        </w:rPr>
        <w:t>lệ phí cấp giấy chứng nhận quyền sử dụng đất, quyền sở hữu nhà, tài sản gắn liền với đất</w:t>
      </w:r>
      <w:bookmarkEnd w:id="1"/>
      <w:r>
        <w:rPr>
          <w:b/>
          <w:color w:val="000000"/>
          <w:sz w:val="28"/>
          <w:szCs w:val="28"/>
          <w:shd w:fill="FFFFFF" w:val="clear"/>
        </w:rPr>
        <w:t xml:space="preserve"> trên địa bàn Thành phố Hồ Chí Minh</w:t>
      </w:r>
    </w:p>
    <w:p>
      <w:pPr>
        <w:pStyle w:val="Normal"/>
        <w:spacing w:before="120" w:after="120"/>
        <w:ind w:firstLine="567" w:right="0"/>
        <w:jc w:val="center"/>
        <w:rPr>
          <w:bCs/>
          <w:color w:val="000000"/>
          <w:sz w:val="28"/>
          <w:szCs w:val="28"/>
          <w:lang w:val="vi-VN"/>
        </w:rPr>
      </w:pPr>
      <w:r>
        <w:rPr>
          <w:b/>
          <w:bCs/>
          <w:color w:val="000000"/>
          <w:sz w:val="28"/>
          <w:szCs w:val="28"/>
          <w:lang w:val="vi-VN"/>
        </w:rPr>
      </w:r>
    </w:p>
    <w:p>
      <w:pPr>
        <w:pStyle w:val="Normal"/>
        <w:spacing w:before="120" w:after="120"/>
        <w:ind w:firstLine="567" w:right="0"/>
        <w:jc w:val="both"/>
        <w:rPr>
          <w:rFonts w:eastAsia="Calibri"/>
          <w:i/>
          <w:color w:val="000000"/>
          <w:sz w:val="28"/>
          <w:szCs w:val="28"/>
          <w:lang w:val="vi-VN"/>
        </w:rPr>
      </w:pPr>
      <w:bookmarkStart w:id="2" w:name="_Hlk212898934"/>
      <w:r>
        <w:rPr>
          <w:rFonts w:eastAsia="Calibri"/>
          <w:i/>
          <w:color w:val="000000"/>
          <w:sz w:val="28"/>
          <w:szCs w:val="28"/>
          <w:lang w:val="vi-VN"/>
        </w:rPr>
        <w:t>Căn cứ Luật Tổ chức chính quyền địa phương số 72/2025/QH15;</w:t>
      </w:r>
    </w:p>
    <w:p>
      <w:pPr>
        <w:pStyle w:val="Normal"/>
        <w:spacing w:before="120" w:after="120"/>
        <w:ind w:firstLine="567" w:right="0"/>
        <w:jc w:val="both"/>
        <w:rPr>
          <w:rFonts w:eastAsia="Calibri"/>
          <w:i/>
          <w:color w:val="000000"/>
          <w:sz w:val="28"/>
          <w:szCs w:val="28"/>
        </w:rPr>
      </w:pPr>
      <w:r>
        <w:rPr>
          <w:rFonts w:eastAsia="Calibri"/>
          <w:i/>
          <w:color w:val="000000"/>
          <w:sz w:val="28"/>
          <w:szCs w:val="28"/>
        </w:rPr>
        <w:t>Căn cứ Luật Ban hành văn bản quy phạm pháp luật số 64/2025/QH15 được sửa đổi, bổ sung bởi Luật số 87/2025/QH15;</w:t>
      </w:r>
    </w:p>
    <w:p>
      <w:pPr>
        <w:pStyle w:val="Normal"/>
        <w:spacing w:before="120" w:after="120"/>
        <w:ind w:firstLine="567" w:right="0"/>
        <w:jc w:val="both"/>
        <w:rPr>
          <w:rFonts w:eastAsia="Calibri"/>
          <w:i/>
          <w:color w:val="000000"/>
          <w:sz w:val="28"/>
          <w:szCs w:val="28"/>
        </w:rPr>
      </w:pPr>
      <w:r>
        <w:rPr>
          <w:i/>
          <w:color w:val="000000"/>
          <w:sz w:val="28"/>
          <w:szCs w:val="28"/>
          <w:lang w:val="nl-NL"/>
        </w:rPr>
        <w:t>Căn cứ Luật Phí và lệ phí số 97/2015/QH13;</w:t>
      </w:r>
    </w:p>
    <w:p>
      <w:pPr>
        <w:pStyle w:val="Normal"/>
        <w:spacing w:before="120" w:after="120"/>
        <w:ind w:firstLine="567" w:right="0"/>
        <w:jc w:val="both"/>
        <w:rPr>
          <w:rFonts w:eastAsia="Calibri"/>
          <w:i/>
          <w:color w:val="000000"/>
          <w:sz w:val="28"/>
          <w:szCs w:val="28"/>
        </w:rPr>
      </w:pPr>
      <w:r>
        <w:rPr>
          <w:rFonts w:eastAsia="Calibri"/>
          <w:i/>
          <w:color w:val="000000"/>
          <w:sz w:val="28"/>
          <w:szCs w:val="28"/>
        </w:rPr>
        <w:t>Căn cứ Luật Đất đai số 31/2024/QH15;</w:t>
      </w:r>
    </w:p>
    <w:p>
      <w:pPr>
        <w:pStyle w:val="Normal"/>
        <w:tabs>
          <w:tab w:val="clear" w:pos="720"/>
          <w:tab w:val="left" w:pos="900" w:leader="none"/>
        </w:tabs>
        <w:spacing w:before="120" w:after="120"/>
        <w:ind w:firstLine="567" w:right="0"/>
        <w:jc w:val="both"/>
        <w:rPr>
          <w:i/>
          <w:iCs/>
          <w:color w:val="000000"/>
          <w:sz w:val="28"/>
          <w:szCs w:val="28"/>
        </w:rPr>
      </w:pPr>
      <w:r>
        <w:rPr>
          <w:bCs/>
          <w:i/>
          <w:iCs/>
          <w:color w:val="000000"/>
          <w:sz w:val="28"/>
          <w:szCs w:val="28"/>
          <w:lang w:val="pt-BR"/>
        </w:rPr>
        <w:t>Căn cứ Nghị quyết 254/2025/QH15 của Quốc hội q</w:t>
      </w:r>
      <w:r>
        <w:rPr>
          <w:i/>
          <w:iCs/>
          <w:color w:val="000000"/>
          <w:sz w:val="28"/>
          <w:szCs w:val="28"/>
        </w:rPr>
        <w:t>uy định một số cơ chế, chính sách tháo gỡ khó khăn, vướng mắc trong tổ chức thi hành Luật Đất đai;</w:t>
      </w:r>
    </w:p>
    <w:p>
      <w:pPr>
        <w:pStyle w:val="Normal"/>
        <w:tabs>
          <w:tab w:val="clear" w:pos="720"/>
          <w:tab w:val="left" w:pos="900" w:leader="none"/>
        </w:tabs>
        <w:spacing w:before="120" w:after="120"/>
        <w:ind w:firstLine="567" w:right="0"/>
        <w:jc w:val="both"/>
        <w:rPr>
          <w:bCs/>
          <w:i/>
          <w:iCs/>
          <w:color w:val="000000"/>
          <w:sz w:val="28"/>
          <w:szCs w:val="28"/>
        </w:rPr>
      </w:pPr>
      <w:r>
        <w:rPr>
          <w:bCs/>
          <w:i/>
          <w:iCs/>
          <w:color w:val="000000"/>
          <w:sz w:val="28"/>
          <w:szCs w:val="28"/>
          <w:lang w:val="pt-BR"/>
        </w:rPr>
        <w:t xml:space="preserve">Căn cứ Nghị định 49/2024/NĐ-CP của Chính phủ quy định </w:t>
      </w:r>
      <w:r>
        <w:rPr>
          <w:bCs/>
          <w:i/>
          <w:iCs/>
          <w:color w:val="000000"/>
          <w:sz w:val="28"/>
          <w:szCs w:val="28"/>
        </w:rPr>
        <w:t>chi tiết và hướng dẫn một số điều của Nghị quyết số 254/2025/QH15 của Quốc hội quy định một số cơ chế, chính sách tháo gỡ</w:t>
      </w:r>
      <w:r>
        <w:rPr>
          <w:i/>
          <w:iCs/>
          <w:color w:val="000000"/>
          <w:sz w:val="28"/>
          <w:szCs w:val="28"/>
        </w:rPr>
        <w:t xml:space="preserve"> </w:t>
      </w:r>
      <w:r>
        <w:rPr>
          <w:bCs/>
          <w:i/>
          <w:iCs/>
          <w:color w:val="000000"/>
          <w:sz w:val="28"/>
          <w:szCs w:val="28"/>
        </w:rPr>
        <w:t>khó khăn, vướng mắc trong tổ chức thi hành Luật Đất đai;</w:t>
      </w:r>
    </w:p>
    <w:p>
      <w:pPr>
        <w:pStyle w:val="Normal"/>
        <w:spacing w:before="120" w:after="120"/>
        <w:ind w:firstLine="567" w:right="0"/>
        <w:jc w:val="both"/>
        <w:rPr>
          <w:rFonts w:eastAsia="Calibri"/>
          <w:i/>
          <w:color w:val="000000"/>
          <w:sz w:val="28"/>
          <w:szCs w:val="28"/>
        </w:rPr>
      </w:pPr>
      <w:r>
        <w:rPr>
          <w:rFonts w:eastAsia="Calibri"/>
          <w:i/>
          <w:color w:val="000000"/>
          <w:sz w:val="28"/>
          <w:szCs w:val="28"/>
        </w:rPr>
        <w:t>Căn cứ Nghị định số 362/2025/NĐ-CP của Chính phủ quy định chi tiết một số điều và biện pháp để tổ chức, hướng dẫn thi hành Luật phí và lệ phí;</w:t>
      </w:r>
    </w:p>
    <w:p>
      <w:pPr>
        <w:pStyle w:val="Normal"/>
        <w:tabs>
          <w:tab w:val="clear" w:pos="720"/>
          <w:tab w:val="left" w:pos="900" w:leader="none"/>
        </w:tabs>
        <w:spacing w:before="120" w:after="120"/>
        <w:ind w:firstLine="567" w:right="0"/>
        <w:jc w:val="both"/>
        <w:rPr>
          <w:rFonts w:eastAsia="Calibri"/>
          <w:i/>
          <w:color w:val="000000"/>
          <w:sz w:val="28"/>
          <w:szCs w:val="28"/>
        </w:rPr>
      </w:pPr>
      <w:r>
        <w:rPr>
          <w:bCs/>
          <w:i/>
          <w:color w:val="000000"/>
          <w:sz w:val="28"/>
          <w:szCs w:val="28"/>
          <w:lang w:val="pt-BR"/>
        </w:rPr>
        <w:t xml:space="preserve">  </w:t>
      </w:r>
      <w:r>
        <w:rPr>
          <w:rFonts w:eastAsia="Calibri"/>
          <w:i/>
          <w:color w:val="000000"/>
          <w:sz w:val="28"/>
          <w:szCs w:val="28"/>
        </w:rPr>
        <w:t>Căn cứ Thông tư số 136/2017/TT-BTC của Bộ trưởng Bộ Tài chính quy định lập, quản lý, sử dụng kinh phí chi hoạt động kinh tế đối với các nhiệm vụ chi về tài nguyên môi trường;</w:t>
      </w:r>
    </w:p>
    <w:p>
      <w:pPr>
        <w:pStyle w:val="Normal"/>
        <w:spacing w:before="120" w:after="120"/>
        <w:ind w:firstLine="567" w:right="0"/>
        <w:jc w:val="both"/>
        <w:rPr>
          <w:rFonts w:eastAsia="Calibri"/>
          <w:i/>
          <w:color w:val="000000"/>
          <w:sz w:val="28"/>
          <w:szCs w:val="28"/>
        </w:rPr>
      </w:pPr>
      <w:r>
        <w:rPr>
          <w:rFonts w:eastAsia="Calibri"/>
          <w:i/>
          <w:color w:val="000000"/>
          <w:sz w:val="28"/>
          <w:szCs w:val="28"/>
        </w:rPr>
        <w:t xml:space="preserve">Căn cứ Thông tư số 85/2019/TT-BTC của Bộ trưởng Bộ Tài chính hướng dẫn về phí và lệ phí thuộc thẩm quyền quyết định của Hội đồng nhân dân thành phố, thành phố trực thuộc Trung ương được sửa đổi, bổ sung bởi Thông tư số 106/2021/TT-BTC; </w:t>
      </w:r>
    </w:p>
    <w:p>
      <w:pPr>
        <w:pStyle w:val="Normal"/>
        <w:spacing w:before="120" w:after="120"/>
        <w:ind w:firstLine="567" w:right="0"/>
        <w:jc w:val="both"/>
        <w:rPr>
          <w:i/>
          <w:color w:val="000000"/>
          <w:sz w:val="28"/>
          <w:szCs w:val="28"/>
        </w:rPr>
      </w:pPr>
      <w:bookmarkEnd w:id="2"/>
      <w:r>
        <w:rPr>
          <w:rFonts w:eastAsia="Calibri"/>
          <w:i/>
          <w:color w:val="000000"/>
          <w:sz w:val="28"/>
          <w:szCs w:val="28"/>
          <w:lang w:val="vi-VN"/>
        </w:rPr>
        <w:t>Xét Tờ trình s</w:t>
      </w:r>
      <w:r>
        <w:rPr>
          <w:rFonts w:eastAsia="Calibri"/>
          <w:i/>
          <w:color w:val="000000"/>
          <w:sz w:val="28"/>
          <w:szCs w:val="28"/>
        </w:rPr>
        <w:t>ố …</w:t>
      </w:r>
      <w:r>
        <w:rPr>
          <w:rFonts w:eastAsia="Calibri"/>
          <w:i/>
          <w:color w:val="000000"/>
          <w:sz w:val="28"/>
          <w:szCs w:val="28"/>
          <w:lang w:val="vi-VN"/>
        </w:rPr>
        <w:t>/TTr-UBND ngày</w:t>
      </w:r>
      <w:r>
        <w:rPr>
          <w:rFonts w:eastAsia="Calibri"/>
          <w:i/>
          <w:color w:val="000000"/>
          <w:sz w:val="28"/>
          <w:szCs w:val="28"/>
        </w:rPr>
        <w:t xml:space="preserve"> … </w:t>
      </w:r>
      <w:r>
        <w:rPr>
          <w:rFonts w:eastAsia="Calibri"/>
          <w:i/>
          <w:color w:val="000000"/>
          <w:sz w:val="28"/>
          <w:szCs w:val="28"/>
          <w:lang w:val="vi-VN"/>
        </w:rPr>
        <w:t>thán</w:t>
      </w:r>
      <w:r>
        <w:rPr>
          <w:rFonts w:eastAsia="Calibri"/>
          <w:i/>
          <w:color w:val="000000"/>
          <w:sz w:val="28"/>
          <w:szCs w:val="28"/>
        </w:rPr>
        <w:t xml:space="preserve">g … </w:t>
      </w:r>
      <w:r>
        <w:rPr>
          <w:rFonts w:eastAsia="Calibri"/>
          <w:i/>
          <w:color w:val="000000"/>
          <w:sz w:val="28"/>
          <w:szCs w:val="28"/>
          <w:lang w:val="vi-VN"/>
        </w:rPr>
        <w:t>năm 20</w:t>
      </w:r>
      <w:r>
        <w:rPr>
          <w:rFonts w:eastAsia="Calibri"/>
          <w:i/>
          <w:color w:val="000000"/>
          <w:sz w:val="28"/>
          <w:szCs w:val="28"/>
        </w:rPr>
        <w:t>26</w:t>
      </w:r>
      <w:r>
        <w:rPr>
          <w:rFonts w:eastAsia="Calibri"/>
          <w:i/>
          <w:color w:val="000000"/>
          <w:sz w:val="28"/>
          <w:szCs w:val="28"/>
          <w:lang w:val="vi-VN"/>
        </w:rPr>
        <w:t xml:space="preserve"> của Ủy ban nhân dân </w:t>
      </w:r>
      <w:r>
        <w:rPr>
          <w:rFonts w:eastAsia="Calibri"/>
          <w:i/>
          <w:color w:val="000000"/>
          <w:sz w:val="28"/>
          <w:szCs w:val="28"/>
        </w:rPr>
        <w:t>T</w:t>
      </w:r>
      <w:r>
        <w:rPr>
          <w:rFonts w:eastAsia="Calibri"/>
          <w:i/>
          <w:color w:val="000000"/>
          <w:sz w:val="28"/>
          <w:szCs w:val="28"/>
          <w:lang w:val="vi-VN"/>
        </w:rPr>
        <w:t xml:space="preserve">hành phố </w:t>
      </w:r>
      <w:r>
        <w:rPr>
          <w:rFonts w:eastAsia="Calibri"/>
          <w:i/>
          <w:color w:val="000000"/>
          <w:sz w:val="28"/>
          <w:szCs w:val="28"/>
        </w:rPr>
        <w:t>về d</w:t>
      </w:r>
      <w:r>
        <w:rPr>
          <w:rFonts w:eastAsia="Calibri"/>
          <w:i/>
          <w:color w:val="000000"/>
          <w:sz w:val="28"/>
          <w:szCs w:val="28"/>
          <w:lang w:val="vi-VN"/>
        </w:rPr>
        <w:t xml:space="preserve">ự thảo Nghị quyết quy định </w:t>
      </w:r>
      <w:r>
        <w:rPr>
          <w:rFonts w:eastAsia="Calibri"/>
          <w:i/>
          <w:color w:val="000000"/>
          <w:sz w:val="28"/>
          <w:szCs w:val="28"/>
        </w:rPr>
        <w:t>về</w:t>
      </w:r>
      <w:r>
        <w:rPr>
          <w:rFonts w:eastAsia="Calibri"/>
          <w:i/>
          <w:color w:val="000000"/>
          <w:sz w:val="28"/>
          <w:szCs w:val="28"/>
          <w:lang w:val="vi-VN"/>
        </w:rPr>
        <w:t xml:space="preserve"> </w:t>
      </w:r>
      <w:r>
        <w:rPr>
          <w:i/>
          <w:color w:val="000000"/>
          <w:sz w:val="28"/>
          <w:szCs w:val="28"/>
        </w:rPr>
        <w:t>mức thu</w:t>
      </w:r>
      <w:r>
        <w:rPr>
          <w:b/>
          <w:color w:val="000000"/>
          <w:sz w:val="28"/>
          <w:szCs w:val="28"/>
        </w:rPr>
        <w:t xml:space="preserve"> </w:t>
      </w:r>
      <w:r>
        <w:rPr>
          <w:i/>
          <w:color w:val="000000"/>
          <w:sz w:val="28"/>
          <w:szCs w:val="28"/>
          <w:shd w:fill="FFFFFF" w:val="clear"/>
        </w:rPr>
        <w:t>lệ phí cấp giấy chứng nhận quyền sử dụng đất, quyền sở hữu nhà, tài sản gắn liền với đất trên địa bàn Thành phố Hồ Chí Minh</w:t>
      </w:r>
      <w:r>
        <w:rPr>
          <w:rFonts w:eastAsia="Calibri"/>
          <w:i/>
          <w:color w:val="000000"/>
          <w:sz w:val="28"/>
          <w:szCs w:val="28"/>
          <w:lang w:val="vi-VN"/>
        </w:rPr>
        <w:t xml:space="preserve">; </w:t>
      </w:r>
      <w:r>
        <w:rPr>
          <w:rFonts w:eastAsia="Calibri"/>
          <w:i/>
          <w:color w:val="000000"/>
          <w:sz w:val="28"/>
          <w:szCs w:val="28"/>
        </w:rPr>
        <w:t>B</w:t>
      </w:r>
      <w:r>
        <w:rPr>
          <w:rFonts w:eastAsia="Calibri"/>
          <w:i/>
          <w:color w:val="000000"/>
          <w:sz w:val="28"/>
          <w:szCs w:val="28"/>
          <w:lang w:val="vi-VN"/>
        </w:rPr>
        <w:t>áo cáo thẩm tra của Ban Kinh tế Ngân sách</w:t>
      </w:r>
      <w:r>
        <w:rPr>
          <w:rFonts w:eastAsia="Calibri"/>
          <w:i/>
          <w:color w:val="000000"/>
          <w:sz w:val="28"/>
          <w:szCs w:val="28"/>
        </w:rPr>
        <w:t>; ý kiến thảo luận của đại biểu Hội đồng nhân dân tại kỳ họp;</w:t>
      </w:r>
    </w:p>
    <w:p>
      <w:pPr>
        <w:pStyle w:val="Normal"/>
        <w:spacing w:before="120" w:after="120"/>
        <w:ind w:firstLine="567" w:right="0"/>
        <w:jc w:val="both"/>
        <w:rPr>
          <w:b/>
          <w:color w:val="000000"/>
          <w:sz w:val="28"/>
          <w:szCs w:val="28"/>
        </w:rPr>
      </w:pPr>
      <w:r>
        <w:rPr>
          <w:rFonts w:eastAsia="Calibri"/>
          <w:i/>
          <w:color w:val="000000"/>
          <w:sz w:val="28"/>
          <w:szCs w:val="28"/>
        </w:rPr>
        <w:t>Hội đồng nhân dân ban hành Nghị quyết q</w:t>
      </w:r>
      <w:r>
        <w:rPr>
          <w:rFonts w:eastAsia="Calibri"/>
          <w:i/>
          <w:color w:val="000000"/>
          <w:sz w:val="28"/>
          <w:szCs w:val="28"/>
          <w:lang w:val="vi-VN"/>
        </w:rPr>
        <w:t xml:space="preserve">uy định </w:t>
      </w:r>
      <w:r>
        <w:rPr>
          <w:rFonts w:eastAsia="Calibri"/>
          <w:i/>
          <w:color w:val="000000"/>
          <w:sz w:val="28"/>
          <w:szCs w:val="28"/>
        </w:rPr>
        <w:t>về</w:t>
      </w:r>
      <w:r>
        <w:rPr>
          <w:rFonts w:eastAsia="Calibri"/>
          <w:i/>
          <w:color w:val="000000"/>
          <w:sz w:val="28"/>
          <w:szCs w:val="28"/>
          <w:lang w:val="vi-VN"/>
        </w:rPr>
        <w:t xml:space="preserve"> </w:t>
      </w:r>
      <w:r>
        <w:rPr>
          <w:i/>
          <w:color w:val="000000"/>
          <w:sz w:val="28"/>
          <w:szCs w:val="28"/>
        </w:rPr>
        <w:t xml:space="preserve">mức thu </w:t>
      </w:r>
      <w:r>
        <w:rPr>
          <w:i/>
          <w:color w:val="000000"/>
          <w:sz w:val="28"/>
          <w:szCs w:val="28"/>
          <w:shd w:fill="FFFFFF" w:val="clear"/>
        </w:rPr>
        <w:t>lệ phí cấp giấy chứng nhận quyền sử dụng đất, quyền sở hữu nhà, tài sản gắn liền với đất trên địa bàn Thành phố Hồ Chí Minh</w:t>
      </w:r>
    </w:p>
    <w:p>
      <w:pPr>
        <w:pStyle w:val="BodyText"/>
        <w:spacing w:before="120" w:after="120"/>
        <w:ind w:firstLine="567" w:right="0"/>
        <w:jc w:val="both"/>
        <w:rPr>
          <w:rFonts w:ascii="Times New Roman" w:hAnsi="Times New Roman" w:eastAsia="Calibri" w:cs="Times New Roman"/>
          <w:b w:val="false"/>
          <w:bCs/>
          <w:iCs/>
          <w:color w:val="000000"/>
          <w:spacing w:val="-4"/>
          <w:sz w:val="28"/>
          <w:szCs w:val="28"/>
          <w:lang w:val="en-US" w:eastAsia="en-US"/>
        </w:rPr>
      </w:pPr>
      <w:bookmarkStart w:id="3" w:name="_Hlk212904559"/>
      <w:r>
        <w:rPr>
          <w:rFonts w:cs="Times New Roman" w:ascii="Times New Roman" w:hAnsi="Times New Roman"/>
          <w:bCs/>
          <w:color w:val="000000"/>
          <w:spacing w:val="-4"/>
          <w:sz w:val="28"/>
          <w:szCs w:val="28"/>
          <w:lang w:val="vi-VN"/>
        </w:rPr>
        <w:t>Điều 1.</w:t>
      </w:r>
      <w:r>
        <w:rPr>
          <w:rFonts w:cs="Times New Roman" w:ascii="Times New Roman" w:hAnsi="Times New Roman"/>
          <w:bCs/>
          <w:color w:val="000000"/>
          <w:spacing w:val="-4"/>
          <w:sz w:val="28"/>
          <w:szCs w:val="28"/>
          <w:lang w:val="en-US"/>
        </w:rPr>
        <w:t xml:space="preserve"> </w:t>
      </w:r>
      <w:r>
        <w:rPr>
          <w:rFonts w:cs="Times New Roman" w:ascii="Times New Roman" w:hAnsi="Times New Roman"/>
          <w:bCs/>
          <w:color w:val="000000"/>
          <w:sz w:val="28"/>
          <w:szCs w:val="28"/>
        </w:rPr>
        <w:t>Phạm vi điều chỉnh</w:t>
      </w:r>
      <w:r>
        <w:rPr>
          <w:rFonts w:cs="Times New Roman" w:ascii="Times New Roman" w:hAnsi="Times New Roman"/>
          <w:bCs/>
          <w:color w:val="000000"/>
          <w:sz w:val="28"/>
          <w:szCs w:val="28"/>
          <w:lang w:val="en-US"/>
        </w:rPr>
        <w:t xml:space="preserve"> và đối tượng áp dụng</w:t>
      </w:r>
    </w:p>
    <w:p>
      <w:pPr>
        <w:pStyle w:val="Normal"/>
        <w:spacing w:before="120" w:after="120"/>
        <w:ind w:firstLine="567" w:right="0"/>
        <w:jc w:val="both"/>
        <w:rPr>
          <w:bCs/>
          <w:color w:val="000000"/>
          <w:sz w:val="28"/>
          <w:szCs w:val="28"/>
          <w:lang w:val="vi-VN"/>
        </w:rPr>
      </w:pPr>
      <w:bookmarkStart w:id="4" w:name="_Hlk212903932"/>
      <w:r>
        <w:rPr>
          <w:bCs/>
          <w:color w:val="000000"/>
          <w:sz w:val="28"/>
          <w:szCs w:val="28"/>
        </w:rPr>
        <w:t>1. Phạm vi điều chỉnh</w:t>
      </w:r>
    </w:p>
    <w:p>
      <w:pPr>
        <w:pStyle w:val="NormalWeb"/>
        <w:shd w:fill="FFFFFF" w:val="clear"/>
        <w:spacing w:before="120" w:after="120"/>
        <w:ind w:firstLine="567" w:right="0"/>
        <w:jc w:val="both"/>
        <w:rPr>
          <w:color w:val="000000"/>
          <w:sz w:val="28"/>
          <w:szCs w:val="28"/>
        </w:rPr>
      </w:pPr>
      <w:bookmarkStart w:id="5" w:name="_Hlk212904004"/>
      <w:bookmarkEnd w:id="4"/>
      <w:r>
        <w:rPr>
          <w:color w:val="000000"/>
          <w:sz w:val="28"/>
          <w:szCs w:val="28"/>
        </w:rPr>
        <w:t>Nghị quyết này quy định mức thu, chế độ thu, nộp và quản lý lệ phí cấp giấy chứng nhận quyền sử dụng đất, quyền sở hữu nhà, tài sản gắn liền với đất trên địa bàn Thành phố Hồ Chí Minh khi tổ chức, hộ gia đình, cá nhân được cơ quan nhà nước có thẩm quyền cấp giấy chứng nhận quyền sử dụng đất, quyền sở hữu nhà, tài sản gắn liền với đất.</w:t>
      </w:r>
    </w:p>
    <w:p>
      <w:pPr>
        <w:pStyle w:val="Normal"/>
        <w:spacing w:before="120" w:after="120"/>
        <w:ind w:firstLine="567" w:right="0"/>
        <w:jc w:val="both"/>
        <w:rPr>
          <w:color w:val="000000"/>
          <w:sz w:val="28"/>
          <w:szCs w:val="28"/>
          <w:lang w:val="vi-VN"/>
        </w:rPr>
      </w:pPr>
      <w:r>
        <w:rPr>
          <w:color w:val="000000"/>
          <w:sz w:val="28"/>
          <w:szCs w:val="28"/>
        </w:rPr>
        <w:t>Nghị quyết này áp dụng đối với người nộp lệ phí, tổ chức thu lệ phí và các tổ chức, cá nhân khác có liên quan đến việc thu, nộp và quản lý lệ phí cấp giấy chứng nhận quyền sử dụng đất, quyền sở hữu nhà, tài sản gắn liền với đất trên địa bàn Thành phố Hồ Chí Minh.</w:t>
      </w:r>
      <w:r>
        <w:rPr>
          <w:color w:val="000000"/>
          <w:sz w:val="28"/>
          <w:szCs w:val="28"/>
          <w:lang w:val="vi-VN"/>
        </w:rPr>
        <w:t xml:space="preserve"> </w:t>
      </w:r>
    </w:p>
    <w:p>
      <w:pPr>
        <w:pStyle w:val="Normal"/>
        <w:spacing w:before="120" w:after="120"/>
        <w:ind w:firstLine="567" w:right="0"/>
        <w:jc w:val="both"/>
        <w:rPr>
          <w:color w:val="000000"/>
          <w:sz w:val="28"/>
          <w:szCs w:val="28"/>
        </w:rPr>
      </w:pPr>
      <w:r>
        <w:rPr>
          <w:color w:val="000000"/>
          <w:sz w:val="28"/>
          <w:szCs w:val="28"/>
          <w:lang w:val="vi-VN"/>
        </w:rPr>
        <w:t xml:space="preserve">2. Đối tượng </w:t>
      </w:r>
      <w:r>
        <w:rPr>
          <w:color w:val="000000"/>
          <w:sz w:val="28"/>
          <w:szCs w:val="28"/>
        </w:rPr>
        <w:t>áp dụng</w:t>
      </w:r>
    </w:p>
    <w:p>
      <w:pPr>
        <w:pStyle w:val="BodyText"/>
        <w:spacing w:before="120" w:after="120"/>
        <w:ind w:firstLine="567" w:right="0"/>
        <w:jc w:val="both"/>
        <w:rPr>
          <w:rFonts w:ascii="Times New Roman" w:hAnsi="Times New Roman" w:cs="Times New Roman"/>
          <w:b w:val="false"/>
          <w:color w:val="000000"/>
          <w:sz w:val="28"/>
          <w:szCs w:val="28"/>
          <w:shd w:fill="FFFFFF" w:val="clear"/>
        </w:rPr>
      </w:pPr>
      <w:bookmarkStart w:id="6" w:name="_Hlk210896877"/>
      <w:r>
        <w:rPr>
          <w:rFonts w:cs="Times New Roman" w:ascii="Times New Roman" w:hAnsi="Times New Roman"/>
          <w:b w:val="false"/>
          <w:color w:val="000000"/>
          <w:sz w:val="28"/>
          <w:szCs w:val="28"/>
          <w:shd w:fill="FFFFFF" w:val="clear"/>
        </w:rPr>
        <w:t xml:space="preserve">Người nộp </w:t>
      </w:r>
      <w:r>
        <w:rPr>
          <w:rFonts w:cs="Times New Roman" w:ascii="Times New Roman" w:hAnsi="Times New Roman"/>
          <w:b w:val="false"/>
          <w:color w:val="000000"/>
          <w:sz w:val="28"/>
          <w:szCs w:val="28"/>
          <w:shd w:fill="FFFFFF" w:val="clear"/>
          <w:lang w:val="en-US"/>
        </w:rPr>
        <w:t xml:space="preserve">lệ </w:t>
      </w:r>
      <w:r>
        <w:rPr>
          <w:rFonts w:cs="Times New Roman" w:ascii="Times New Roman" w:hAnsi="Times New Roman"/>
          <w:b w:val="false"/>
          <w:color w:val="000000"/>
          <w:sz w:val="28"/>
          <w:szCs w:val="28"/>
          <w:shd w:fill="FFFFFF" w:val="clear"/>
        </w:rPr>
        <w:t xml:space="preserve">phí là </w:t>
      </w:r>
      <w:r>
        <w:rPr>
          <w:rFonts w:cs="Times New Roman" w:ascii="Times New Roman" w:hAnsi="Times New Roman"/>
          <w:b w:val="false"/>
          <w:color w:val="000000"/>
          <w:sz w:val="28"/>
          <w:szCs w:val="28"/>
          <w:lang w:val="en-US"/>
        </w:rPr>
        <w:t>t</w:t>
      </w:r>
      <w:r>
        <w:rPr>
          <w:rFonts w:cs="Times New Roman" w:ascii="Times New Roman" w:hAnsi="Times New Roman"/>
          <w:b w:val="false"/>
          <w:color w:val="000000"/>
          <w:sz w:val="28"/>
          <w:szCs w:val="28"/>
        </w:rPr>
        <w:t>ổ chức, hộ gia đình, cá nhân được cơ quan nhà nước có thẩm quyền cấp giấy chứng nhận quyền sử dụng đất, quyền sở hữu nhà, tài sản gắn liền với đất.</w:t>
      </w:r>
    </w:p>
    <w:p>
      <w:pPr>
        <w:pStyle w:val="BodyText"/>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Cs/>
          <w:color w:val="000000"/>
          <w:spacing w:val="-4"/>
          <w:sz w:val="28"/>
          <w:szCs w:val="28"/>
          <w:lang w:val="vi-VN"/>
        </w:rPr>
        <w:t>Điều 2.</w:t>
      </w:r>
      <w:r>
        <w:rPr>
          <w:rFonts w:cs="Times New Roman" w:ascii="Times New Roman" w:hAnsi="Times New Roman"/>
          <w:bCs/>
          <w:color w:val="000000"/>
          <w:spacing w:val="-4"/>
          <w:sz w:val="28"/>
          <w:szCs w:val="28"/>
          <w:lang w:val="en-US"/>
        </w:rPr>
        <w:t xml:space="preserve"> </w:t>
      </w:r>
      <w:r>
        <w:rPr>
          <w:rFonts w:cs="Times New Roman" w:ascii="Times New Roman" w:hAnsi="Times New Roman"/>
          <w:bCs/>
          <w:color w:val="000000"/>
          <w:sz w:val="28"/>
          <w:szCs w:val="28"/>
          <w:lang w:val="en-US"/>
        </w:rPr>
        <w:t xml:space="preserve">Mức thu lệ phí: </w:t>
      </w:r>
      <w:r>
        <w:rPr>
          <w:rFonts w:cs="Times New Roman" w:ascii="Times New Roman" w:hAnsi="Times New Roman"/>
          <w:b w:val="false"/>
          <w:bCs/>
          <w:color w:val="000000"/>
          <w:sz w:val="28"/>
          <w:szCs w:val="28"/>
          <w:lang w:val="en-US"/>
        </w:rPr>
        <w:t>T</w:t>
      </w:r>
      <w:r>
        <w:rPr>
          <w:rFonts w:cs="Times New Roman" w:ascii="Times New Roman" w:hAnsi="Times New Roman"/>
          <w:b w:val="false"/>
          <w:color w:val="000000"/>
          <w:sz w:val="28"/>
          <w:szCs w:val="28"/>
          <w:shd w:fill="FFFFFF" w:val="clear"/>
          <w:lang w:val="en-US" w:eastAsia="en-US"/>
        </w:rPr>
        <w:t>heo Phụ lục đính kèm.</w:t>
      </w:r>
      <w:r>
        <w:rPr>
          <w:rFonts w:cs="Times New Roman" w:ascii="Times New Roman" w:hAnsi="Times New Roman"/>
          <w:bCs/>
          <w:color w:val="000000"/>
          <w:sz w:val="28"/>
          <w:szCs w:val="28"/>
          <w:lang w:val="en-US"/>
        </w:rPr>
        <w:t xml:space="preserve"> </w:t>
      </w:r>
    </w:p>
    <w:p>
      <w:pPr>
        <w:pStyle w:val="BodyText"/>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Cs/>
          <w:color w:val="000000"/>
          <w:spacing w:val="-4"/>
          <w:sz w:val="28"/>
          <w:szCs w:val="28"/>
          <w:lang w:val="vi-VN"/>
        </w:rPr>
        <w:t xml:space="preserve">Điều </w:t>
      </w:r>
      <w:r>
        <w:rPr>
          <w:rFonts w:cs="Times New Roman" w:ascii="Times New Roman" w:hAnsi="Times New Roman"/>
          <w:bCs/>
          <w:color w:val="000000"/>
          <w:spacing w:val="-4"/>
          <w:sz w:val="28"/>
          <w:szCs w:val="28"/>
          <w:lang w:val="en-US"/>
        </w:rPr>
        <w:t>3</w:t>
      </w:r>
      <w:r>
        <w:rPr>
          <w:rFonts w:cs="Times New Roman" w:ascii="Times New Roman" w:hAnsi="Times New Roman"/>
          <w:bCs/>
          <w:color w:val="000000"/>
          <w:spacing w:val="-4"/>
          <w:sz w:val="28"/>
          <w:szCs w:val="28"/>
          <w:lang w:val="vi-VN"/>
        </w:rPr>
        <w:t>.</w:t>
      </w:r>
      <w:r>
        <w:rPr>
          <w:rFonts w:cs="Times New Roman" w:ascii="Times New Roman" w:hAnsi="Times New Roman"/>
          <w:bCs/>
          <w:color w:val="000000"/>
          <w:spacing w:val="-4"/>
          <w:sz w:val="28"/>
          <w:szCs w:val="28"/>
          <w:lang w:val="en-US"/>
        </w:rPr>
        <w:t xml:space="preserve"> Đối tượng được miễn </w:t>
      </w:r>
      <w:r>
        <w:rPr>
          <w:rFonts w:cs="Times New Roman" w:ascii="Times New Roman" w:hAnsi="Times New Roman"/>
          <w:bCs/>
          <w:color w:val="000000"/>
          <w:sz w:val="28"/>
          <w:szCs w:val="28"/>
          <w:lang w:val="en-US"/>
        </w:rPr>
        <w:t xml:space="preserve"> </w:t>
      </w:r>
    </w:p>
    <w:p>
      <w:pPr>
        <w:pStyle w:val="BodyText"/>
        <w:spacing w:before="120" w:after="120"/>
        <w:ind w:firstLine="567" w:right="0"/>
        <w:jc w:val="both"/>
        <w:rPr>
          <w:rFonts w:ascii="Times New Roman" w:hAnsi="Times New Roman" w:cs="Times New Roman"/>
          <w:b w:val="false"/>
          <w:color w:val="000000"/>
          <w:sz w:val="28"/>
          <w:szCs w:val="28"/>
          <w:shd w:fill="FFFFFF" w:val="clear"/>
          <w:lang w:val="vi-VN"/>
        </w:rPr>
      </w:pPr>
      <w:r>
        <w:rPr>
          <w:rFonts w:cs="Times New Roman" w:ascii="Times New Roman" w:hAnsi="Times New Roman"/>
          <w:b w:val="false"/>
          <w:color w:val="000000"/>
          <w:sz w:val="28"/>
          <w:szCs w:val="28"/>
          <w:shd w:fill="FFFFFF" w:val="clear"/>
        </w:rPr>
        <w:t>Trẻ em, hộ nghèo, người cao tuổi, người khuyết tật, người có công với cách mạng, đồng bào dân tộc thiểu số ở các xã có điều kiện kinh tế - xã hội đặc biệt khó khăn trên địa bàn Thành phố</w:t>
      </w:r>
      <w:r>
        <w:rPr>
          <w:rFonts w:cs="Times New Roman" w:ascii="Times New Roman" w:hAnsi="Times New Roman"/>
          <w:b w:val="false"/>
          <w:color w:val="000000"/>
          <w:sz w:val="28"/>
          <w:szCs w:val="28"/>
          <w:shd w:fill="FFFFFF" w:val="clear"/>
          <w:lang w:val="vi-VN"/>
        </w:rPr>
        <w:t xml:space="preserve"> </w:t>
      </w:r>
      <w:r>
        <w:rPr>
          <w:rFonts w:cs="Times New Roman" w:ascii="Times New Roman" w:hAnsi="Times New Roman"/>
          <w:b w:val="false"/>
          <w:bCs/>
          <w:color w:val="000000"/>
          <w:sz w:val="28"/>
          <w:szCs w:val="28"/>
          <w:shd w:fill="FFFFFF" w:val="clear"/>
        </w:rPr>
        <w:t xml:space="preserve">được căn cứ theo </w:t>
      </w:r>
      <w:r>
        <w:rPr>
          <w:rFonts w:cs="Times New Roman" w:ascii="Times New Roman" w:hAnsi="Times New Roman"/>
          <w:b w:val="false"/>
          <w:bCs/>
          <w:color w:val="000000"/>
          <w:sz w:val="28"/>
          <w:szCs w:val="28"/>
          <w:shd w:fill="FFFFFF" w:val="clear"/>
          <w:lang w:val="en-US"/>
        </w:rPr>
        <w:t>Nghị định số 351/2025/NĐ-CP</w:t>
      </w:r>
      <w:r>
        <w:rPr>
          <w:rFonts w:cs="Times New Roman" w:ascii="Times New Roman" w:hAnsi="Times New Roman"/>
          <w:b w:val="false"/>
          <w:bCs/>
          <w:color w:val="000000"/>
          <w:sz w:val="28"/>
          <w:szCs w:val="28"/>
          <w:shd w:fill="FFFFFF" w:val="clear"/>
          <w:lang w:val="vi-VN"/>
        </w:rPr>
        <w:t xml:space="preserve"> </w:t>
      </w:r>
      <w:r>
        <w:rPr>
          <w:rFonts w:cs="Times New Roman" w:ascii="Times New Roman" w:hAnsi="Times New Roman"/>
          <w:b w:val="false"/>
          <w:bCs/>
          <w:color w:val="000000"/>
          <w:sz w:val="28"/>
          <w:szCs w:val="28"/>
          <w:shd w:fill="FFFFFF" w:val="clear"/>
          <w:lang w:val="en-US"/>
        </w:rPr>
        <w:t>ngày 30 tháng 12 năm 2025</w:t>
      </w:r>
      <w:r>
        <w:rPr>
          <w:rFonts w:cs="Times New Roman" w:ascii="Times New Roman" w:hAnsi="Times New Roman"/>
          <w:b w:val="false"/>
          <w:bCs/>
          <w:color w:val="000000"/>
          <w:sz w:val="28"/>
          <w:szCs w:val="28"/>
          <w:shd w:fill="FFFFFF" w:val="clear"/>
          <w:lang w:val="vi-VN"/>
        </w:rPr>
        <w:t xml:space="preserve"> của Chính phủ về </w:t>
      </w:r>
      <w:r>
        <w:rPr>
          <w:rFonts w:cs="Times New Roman" w:ascii="Times New Roman" w:hAnsi="Times New Roman"/>
          <w:b w:val="false"/>
          <w:bCs/>
          <w:color w:val="000000"/>
          <w:sz w:val="28"/>
          <w:szCs w:val="28"/>
          <w:shd w:fill="FFFFFF" w:val="clear"/>
          <w:lang w:val="en-US"/>
        </w:rPr>
        <w:t>quy định chuẩn nghèo đa chiều quốc gia giai đoạn 2026 – 2030</w:t>
      </w:r>
      <w:r>
        <w:rPr>
          <w:rFonts w:cs="Times New Roman" w:ascii="Times New Roman" w:hAnsi="Times New Roman"/>
          <w:b w:val="false"/>
          <w:bCs/>
          <w:color w:val="000000"/>
          <w:sz w:val="28"/>
          <w:szCs w:val="28"/>
          <w:shd w:fill="FFFFFF" w:val="clear"/>
          <w:lang w:val="vi-VN"/>
        </w:rPr>
        <w:t>.</w:t>
      </w:r>
    </w:p>
    <w:p>
      <w:pPr>
        <w:pStyle w:val="BodyText"/>
        <w:spacing w:before="120" w:after="120"/>
        <w:ind w:firstLine="567" w:right="0"/>
        <w:jc w:val="both"/>
        <w:rPr>
          <w:rFonts w:ascii="Times New Roman" w:hAnsi="Times New Roman" w:cs="Times New Roman"/>
          <w:b w:val="false"/>
          <w:bCs/>
          <w:color w:val="000000"/>
          <w:sz w:val="28"/>
          <w:szCs w:val="28"/>
          <w:lang w:val="en-US"/>
        </w:rPr>
      </w:pPr>
      <w:r>
        <w:rPr>
          <w:rFonts w:cs="Times New Roman" w:ascii="Times New Roman" w:hAnsi="Times New Roman"/>
          <w:b w:val="false"/>
          <w:color w:val="000000"/>
          <w:sz w:val="28"/>
          <w:szCs w:val="28"/>
        </w:rPr>
        <w:t>Đăng ký biến động do thay đổi địa giới đơn vị hành chính.</w:t>
      </w:r>
    </w:p>
    <w:p>
      <w:pPr>
        <w:pStyle w:val="BodyText"/>
        <w:spacing w:before="120" w:after="120"/>
        <w:ind w:firstLine="567" w:right="0"/>
        <w:jc w:val="both"/>
        <w:rPr>
          <w:rFonts w:ascii="Times New Roman" w:hAnsi="Times New Roman" w:cs="Times New Roman"/>
          <w:bCs/>
          <w:color w:val="000000"/>
          <w:sz w:val="28"/>
          <w:szCs w:val="28"/>
        </w:rPr>
      </w:pPr>
      <w:r>
        <w:rPr>
          <w:rFonts w:cs="Times New Roman" w:ascii="Times New Roman" w:hAnsi="Times New Roman"/>
          <w:bCs/>
          <w:color w:val="000000"/>
          <w:spacing w:val="-4"/>
          <w:sz w:val="28"/>
          <w:szCs w:val="28"/>
          <w:lang w:val="vi-VN"/>
        </w:rPr>
        <w:t xml:space="preserve">Điều </w:t>
      </w:r>
      <w:r>
        <w:rPr>
          <w:rFonts w:cs="Times New Roman" w:ascii="Times New Roman" w:hAnsi="Times New Roman"/>
          <w:bCs/>
          <w:color w:val="000000"/>
          <w:spacing w:val="-4"/>
          <w:sz w:val="28"/>
          <w:szCs w:val="28"/>
          <w:lang w:val="en-US"/>
        </w:rPr>
        <w:t>4</w:t>
      </w:r>
      <w:r>
        <w:rPr>
          <w:rFonts w:cs="Times New Roman" w:ascii="Times New Roman" w:hAnsi="Times New Roman"/>
          <w:bCs/>
          <w:color w:val="000000"/>
          <w:spacing w:val="-4"/>
          <w:sz w:val="28"/>
          <w:szCs w:val="28"/>
          <w:lang w:val="vi-VN"/>
        </w:rPr>
        <w:t>.</w:t>
      </w:r>
      <w:r>
        <w:rPr>
          <w:rFonts w:cs="Times New Roman" w:ascii="Times New Roman" w:hAnsi="Times New Roman"/>
          <w:bCs/>
          <w:color w:val="000000"/>
          <w:spacing w:val="-4"/>
          <w:sz w:val="28"/>
          <w:szCs w:val="28"/>
          <w:lang w:val="en-US"/>
        </w:rPr>
        <w:t xml:space="preserve"> </w:t>
      </w:r>
      <w:r>
        <w:rPr>
          <w:rFonts w:cs="Times New Roman" w:ascii="Times New Roman" w:hAnsi="Times New Roman"/>
          <w:color w:val="000000"/>
          <w:sz w:val="28"/>
          <w:szCs w:val="28"/>
          <w:lang w:val="vi-VN" w:eastAsia="vi-VN"/>
        </w:rPr>
        <w:t xml:space="preserve">Tổ chức thu, quản lý và sử dụng nguồn thu </w:t>
      </w:r>
      <w:r>
        <w:rPr>
          <w:rFonts w:cs="Times New Roman" w:ascii="Times New Roman" w:hAnsi="Times New Roman"/>
          <w:color w:val="000000"/>
          <w:sz w:val="28"/>
          <w:szCs w:val="28"/>
          <w:lang w:val="en-US" w:eastAsia="vi-VN"/>
        </w:rPr>
        <w:t xml:space="preserve">lệ </w:t>
      </w:r>
      <w:r>
        <w:rPr>
          <w:rFonts w:cs="Times New Roman" w:ascii="Times New Roman" w:hAnsi="Times New Roman"/>
          <w:color w:val="000000"/>
          <w:sz w:val="28"/>
          <w:szCs w:val="28"/>
          <w:lang w:val="vi-VN" w:eastAsia="vi-VN"/>
        </w:rPr>
        <w:t>phí</w:t>
      </w:r>
    </w:p>
    <w:p>
      <w:pPr>
        <w:pStyle w:val="BodyText"/>
        <w:spacing w:before="120" w:after="120"/>
        <w:ind w:firstLine="567" w:right="0"/>
        <w:jc w:val="both"/>
        <w:rPr>
          <w:rFonts w:ascii="Times New Roman" w:hAnsi="Times New Roman" w:cs="Times New Roman"/>
          <w:b w:val="false"/>
          <w:color w:val="000000"/>
          <w:sz w:val="28"/>
          <w:szCs w:val="28"/>
          <w:shd w:fill="FFFFFF" w:val="clear"/>
          <w:lang w:val="en-US"/>
        </w:rPr>
      </w:pPr>
      <w:r>
        <w:rPr>
          <w:rFonts w:cs="Times New Roman" w:ascii="Times New Roman" w:hAnsi="Times New Roman"/>
          <w:b w:val="false"/>
          <w:color w:val="000000"/>
          <w:sz w:val="28"/>
          <w:szCs w:val="28"/>
          <w:shd w:fill="FFFFFF" w:val="clear"/>
          <w:lang w:val="en-US"/>
        </w:rPr>
        <w:t>1</w:t>
      </w:r>
      <w:r>
        <w:rPr>
          <w:rFonts w:cs="Times New Roman" w:ascii="Times New Roman" w:hAnsi="Times New Roman"/>
          <w:b w:val="false"/>
          <w:color w:val="000000"/>
          <w:sz w:val="28"/>
          <w:szCs w:val="28"/>
          <w:shd w:fill="FFFFFF" w:val="clear"/>
        </w:rPr>
        <w:t>. Tổ chức thu</w:t>
      </w:r>
      <w:r>
        <w:rPr>
          <w:rFonts w:cs="Times New Roman" w:ascii="Times New Roman" w:hAnsi="Times New Roman"/>
          <w:b w:val="false"/>
          <w:color w:val="000000"/>
          <w:sz w:val="28"/>
          <w:szCs w:val="28"/>
          <w:shd w:fill="FFFFFF" w:val="clear"/>
          <w:lang w:val="en-US"/>
        </w:rPr>
        <w:t xml:space="preserve"> lệ</w:t>
      </w:r>
      <w:r>
        <w:rPr>
          <w:rFonts w:cs="Times New Roman" w:ascii="Times New Roman" w:hAnsi="Times New Roman"/>
          <w:b w:val="false"/>
          <w:color w:val="000000"/>
          <w:sz w:val="28"/>
          <w:szCs w:val="28"/>
          <w:shd w:fill="FFFFFF" w:val="clear"/>
        </w:rPr>
        <w:t xml:space="preserve"> phí: Sở </w:t>
      </w:r>
      <w:r>
        <w:rPr>
          <w:rFonts w:cs="Times New Roman" w:ascii="Times New Roman" w:hAnsi="Times New Roman"/>
          <w:b w:val="false"/>
          <w:color w:val="000000"/>
          <w:sz w:val="28"/>
          <w:szCs w:val="28"/>
          <w:shd w:fill="FFFFFF" w:val="clear"/>
          <w:lang w:val="en-US"/>
        </w:rPr>
        <w:t>Nông nghiệp</w:t>
      </w:r>
      <w:r>
        <w:rPr>
          <w:rFonts w:cs="Times New Roman" w:ascii="Times New Roman" w:hAnsi="Times New Roman"/>
          <w:b w:val="false"/>
          <w:color w:val="000000"/>
          <w:sz w:val="28"/>
          <w:szCs w:val="28"/>
          <w:shd w:fill="FFFFFF" w:val="clear"/>
        </w:rPr>
        <w:t xml:space="preserve"> và Môi trường</w:t>
      </w:r>
      <w:r>
        <w:rPr>
          <w:rFonts w:cs="Times New Roman" w:ascii="Times New Roman" w:hAnsi="Times New Roman"/>
          <w:b w:val="false"/>
          <w:color w:val="000000"/>
          <w:sz w:val="28"/>
          <w:szCs w:val="28"/>
          <w:shd w:fill="FFFFFF" w:val="clear"/>
          <w:lang w:val="en-US"/>
        </w:rPr>
        <w:t xml:space="preserve"> và Ủy ban nhân dân các phường, xã, đặc khu (theo thẩm quyền giải quyết thủ tục hành chính).</w:t>
      </w:r>
    </w:p>
    <w:p>
      <w:pPr>
        <w:pStyle w:val="BodyText"/>
        <w:spacing w:before="120" w:after="120"/>
        <w:ind w:firstLine="567" w:right="0"/>
        <w:jc w:val="both"/>
        <w:rPr>
          <w:rFonts w:ascii="Times New Roman" w:hAnsi="Times New Roman" w:cs="Times New Roman"/>
          <w:b w:val="false"/>
          <w:bCs/>
          <w:color w:val="000000"/>
          <w:sz w:val="28"/>
          <w:szCs w:val="28"/>
        </w:rPr>
      </w:pPr>
      <w:r>
        <w:rPr>
          <w:rFonts w:cs="Times New Roman" w:ascii="Times New Roman" w:hAnsi="Times New Roman"/>
          <w:b w:val="false"/>
          <w:color w:val="000000"/>
          <w:sz w:val="28"/>
          <w:szCs w:val="28"/>
          <w:shd w:fill="FFFFFF" w:val="clear"/>
          <w:lang w:val="en-US"/>
        </w:rPr>
        <w:t>2</w:t>
      </w:r>
      <w:r>
        <w:rPr>
          <w:rFonts w:cs="Times New Roman" w:ascii="Times New Roman" w:hAnsi="Times New Roman"/>
          <w:b w:val="false"/>
          <w:color w:val="000000"/>
          <w:sz w:val="28"/>
          <w:szCs w:val="28"/>
          <w:shd w:fill="FFFFFF" w:val="clear"/>
        </w:rPr>
        <w:t xml:space="preserve">. Kê khai, thu, nộp và quyết toán </w:t>
      </w:r>
      <w:r>
        <w:rPr>
          <w:rFonts w:cs="Times New Roman" w:ascii="Times New Roman" w:hAnsi="Times New Roman"/>
          <w:b w:val="false"/>
          <w:color w:val="000000"/>
          <w:sz w:val="28"/>
          <w:szCs w:val="28"/>
          <w:shd w:fill="FFFFFF" w:val="clear"/>
          <w:lang w:val="en-US"/>
        </w:rPr>
        <w:t xml:space="preserve">lệ </w:t>
      </w:r>
      <w:r>
        <w:rPr>
          <w:rFonts w:cs="Times New Roman" w:ascii="Times New Roman" w:hAnsi="Times New Roman"/>
          <w:b w:val="false"/>
          <w:color w:val="000000"/>
          <w:sz w:val="28"/>
          <w:szCs w:val="28"/>
          <w:shd w:fill="FFFFFF" w:val="clear"/>
        </w:rPr>
        <w:t>phí</w:t>
      </w:r>
    </w:p>
    <w:p>
      <w:pPr>
        <w:pStyle w:val="Normal"/>
        <w:spacing w:before="120" w:after="120"/>
        <w:ind w:firstLine="567" w:right="0"/>
        <w:jc w:val="both"/>
        <w:rPr>
          <w:color w:val="000000"/>
          <w:sz w:val="28"/>
          <w:szCs w:val="28"/>
          <w:shd w:fill="FFFFFF" w:val="clear"/>
        </w:rPr>
      </w:pPr>
      <w:r>
        <w:rPr>
          <w:bCs/>
          <w:color w:val="000000"/>
          <w:sz w:val="28"/>
          <w:szCs w:val="28"/>
          <w:lang w:val="sv-SE"/>
        </w:rPr>
        <w:t xml:space="preserve">a) Cơ quan, tổ chức, cá nhân </w:t>
      </w:r>
      <w:r>
        <w:rPr>
          <w:bCs/>
          <w:color w:val="000000"/>
          <w:sz w:val="28"/>
          <w:szCs w:val="28"/>
        </w:rPr>
        <w:t xml:space="preserve">đề nghị cơ quan nhà nước có thẩm quyền thực hiện phải thực hiện nộp lệ phí trong thời gian 01 ngày làm việc tính từ ngày nhận được thông báo của cơ quan đăng ký về mức lệ phí phải nộp. </w:t>
      </w:r>
    </w:p>
    <w:p>
      <w:pPr>
        <w:pStyle w:val="Normal"/>
        <w:spacing w:before="120" w:after="120"/>
        <w:ind w:firstLine="567" w:right="0"/>
        <w:jc w:val="both"/>
        <w:rPr>
          <w:color w:val="000000"/>
          <w:sz w:val="28"/>
          <w:szCs w:val="28"/>
        </w:rPr>
      </w:pPr>
      <w:r>
        <w:rPr>
          <w:bCs/>
          <w:color w:val="000000"/>
          <w:sz w:val="28"/>
          <w:szCs w:val="28"/>
        </w:rPr>
        <w:t>b) Lệ phí được nộp vào tài khoản lệ phí chờ nộp ngân sách của tổ chức thu lệ phí mở tại Kho Bạc Nhà nước.</w:t>
      </w:r>
    </w:p>
    <w:p>
      <w:pPr>
        <w:pStyle w:val="Normal"/>
        <w:spacing w:before="120" w:after="120"/>
        <w:ind w:firstLine="567" w:right="0"/>
        <w:jc w:val="both"/>
        <w:rPr>
          <w:bCs/>
          <w:color w:val="000000"/>
          <w:spacing w:val="-4"/>
          <w:sz w:val="28"/>
          <w:szCs w:val="28"/>
        </w:rPr>
      </w:pPr>
      <w:r>
        <w:rPr>
          <w:bCs/>
          <w:color w:val="000000"/>
          <w:spacing w:val="-4"/>
          <w:sz w:val="28"/>
          <w:szCs w:val="28"/>
        </w:rPr>
        <w:t>c) Chậm nhất là ngày 05 hàng tháng, tổ chức thu lệ phí phải gửi số tiền lệ phí đã thu của tháng trước vào tài khỏan lệ phí chờ nộp ngân sách mở tại Kho bạc Nhà nước.</w:t>
      </w:r>
    </w:p>
    <w:p>
      <w:pPr>
        <w:pStyle w:val="Normal"/>
        <w:spacing w:before="120" w:after="120"/>
        <w:ind w:firstLine="567" w:right="0"/>
        <w:jc w:val="both"/>
        <w:rPr>
          <w:bCs/>
          <w:color w:val="000000"/>
          <w:sz w:val="28"/>
          <w:szCs w:val="28"/>
        </w:rPr>
      </w:pPr>
      <w:r>
        <w:rPr>
          <w:bCs/>
          <w:color w:val="000000"/>
          <w:sz w:val="28"/>
          <w:szCs w:val="28"/>
        </w:rPr>
        <w:t>Tổ chức thu lệ phí thực hiện kê khai, nộp số tiền lệ phí thu được theo tháng, quyết toán theo năm theo qui định tại Luật Quản lý thuế số 108/2025/QH15, Nghị định số 252/2026/NĐ-CP ngày 30 tháng 6 năm 2026 của Chính phủ qui định chi tiết một số điều và biện pháp để tổ chức, hướng dẫn thi hành Luật Quản lý thuế.</w:t>
      </w:r>
    </w:p>
    <w:p>
      <w:pPr>
        <w:pStyle w:val="Normal"/>
        <w:tabs>
          <w:tab w:val="clear" w:pos="720"/>
          <w:tab w:val="left" w:pos="900" w:leader="none"/>
        </w:tabs>
        <w:spacing w:before="120" w:after="120"/>
        <w:ind w:firstLine="567" w:right="0"/>
        <w:jc w:val="both"/>
        <w:rPr>
          <w:bCs/>
          <w:color w:val="000000"/>
          <w:sz w:val="28"/>
          <w:szCs w:val="28"/>
        </w:rPr>
      </w:pPr>
      <w:r>
        <w:rPr>
          <w:bCs/>
          <w:color w:val="000000"/>
          <w:sz w:val="28"/>
          <w:szCs w:val="28"/>
        </w:rPr>
        <w:t xml:space="preserve">3. Tỷ lệ trích để lại: </w:t>
      </w:r>
    </w:p>
    <w:p>
      <w:pPr>
        <w:pStyle w:val="Normal"/>
        <w:tabs>
          <w:tab w:val="clear" w:pos="720"/>
          <w:tab w:val="left" w:pos="900" w:leader="none"/>
        </w:tabs>
        <w:spacing w:before="120" w:after="120"/>
        <w:ind w:firstLine="567" w:right="0"/>
        <w:jc w:val="both"/>
        <w:rPr>
          <w:iCs/>
          <w:color w:val="000000"/>
          <w:sz w:val="28"/>
          <w:szCs w:val="28"/>
          <w:lang w:val="vi-VN"/>
        </w:rPr>
      </w:pPr>
      <w:r>
        <w:rPr>
          <w:color w:val="000000"/>
          <w:spacing w:val="-4"/>
          <w:sz w:val="28"/>
          <w:szCs w:val="28"/>
        </w:rPr>
        <w:t xml:space="preserve">Tổ chức thu lệ phí </w:t>
      </w:r>
      <w:r>
        <w:rPr>
          <w:iCs/>
          <w:color w:val="000000"/>
          <w:sz w:val="28"/>
          <w:szCs w:val="28"/>
        </w:rPr>
        <w:t xml:space="preserve">nộp ngân sách 100%. </w:t>
      </w:r>
    </w:p>
    <w:p>
      <w:pPr>
        <w:pStyle w:val="BodyText"/>
        <w:spacing w:before="120" w:after="120"/>
        <w:ind w:firstLine="567" w:right="0"/>
        <w:jc w:val="both"/>
        <w:rPr>
          <w:rFonts w:ascii="Times New Roman" w:hAnsi="Times New Roman" w:cs="Times New Roman"/>
          <w:bCs/>
          <w:color w:val="000000"/>
          <w:spacing w:val="-4"/>
          <w:sz w:val="28"/>
          <w:szCs w:val="28"/>
          <w:lang w:val="en-US"/>
        </w:rPr>
      </w:pPr>
      <w:r>
        <w:rPr>
          <w:rFonts w:cs="Times New Roman" w:ascii="Times New Roman" w:hAnsi="Times New Roman"/>
          <w:bCs/>
          <w:color w:val="000000"/>
          <w:spacing w:val="-4"/>
          <w:sz w:val="28"/>
          <w:szCs w:val="28"/>
          <w:lang w:val="vi-VN"/>
        </w:rPr>
        <w:t xml:space="preserve">Điều </w:t>
      </w:r>
      <w:r>
        <w:rPr>
          <w:rFonts w:cs="Times New Roman" w:ascii="Times New Roman" w:hAnsi="Times New Roman"/>
          <w:bCs/>
          <w:color w:val="000000"/>
          <w:spacing w:val="-4"/>
          <w:sz w:val="28"/>
          <w:szCs w:val="28"/>
          <w:lang w:val="en-US"/>
        </w:rPr>
        <w:t>5</w:t>
      </w:r>
      <w:r>
        <w:rPr>
          <w:rFonts w:cs="Times New Roman" w:ascii="Times New Roman" w:hAnsi="Times New Roman"/>
          <w:bCs/>
          <w:color w:val="000000"/>
          <w:spacing w:val="-4"/>
          <w:sz w:val="28"/>
          <w:szCs w:val="28"/>
          <w:lang w:val="vi-VN"/>
        </w:rPr>
        <w:t>.</w:t>
      </w:r>
      <w:r>
        <w:rPr>
          <w:rFonts w:cs="Times New Roman" w:ascii="Times New Roman" w:hAnsi="Times New Roman"/>
          <w:bCs/>
          <w:color w:val="000000"/>
          <w:spacing w:val="-4"/>
          <w:sz w:val="28"/>
          <w:szCs w:val="28"/>
          <w:lang w:val="en-US"/>
        </w:rPr>
        <w:t xml:space="preserve"> Tổ chức thực hiện</w:t>
      </w:r>
    </w:p>
    <w:p>
      <w:pPr>
        <w:pStyle w:val="BodyText"/>
        <w:spacing w:before="120" w:after="120"/>
        <w:ind w:firstLine="567" w:right="0"/>
        <w:jc w:val="both"/>
        <w:rPr>
          <w:rFonts w:ascii="Times New Roman" w:hAnsi="Times New Roman" w:cs="Times New Roman"/>
          <w:b w:val="false"/>
          <w:color w:val="000000"/>
          <w:sz w:val="28"/>
          <w:szCs w:val="28"/>
          <w:lang w:val="en-US" w:eastAsia="en-US"/>
        </w:rPr>
      </w:pPr>
      <w:r>
        <w:rPr>
          <w:rFonts w:cs="Times New Roman" w:ascii="Times New Roman" w:hAnsi="Times New Roman"/>
          <w:b w:val="false"/>
          <w:color w:val="000000"/>
          <w:sz w:val="28"/>
          <w:szCs w:val="28"/>
          <w:lang w:val="en-US" w:eastAsia="en-US"/>
        </w:rPr>
        <w:t>1. Giao Ủy ban nhân dân Thành phố triển khai và tổ chức thực hiện Nghị quyết này thống nhất trên địa bàn Thành phố theo quy định pháp luật.</w:t>
      </w:r>
    </w:p>
    <w:p>
      <w:pPr>
        <w:pStyle w:val="BodyText"/>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 w:val="false"/>
          <w:color w:val="000000"/>
          <w:sz w:val="28"/>
          <w:szCs w:val="28"/>
          <w:lang w:val="en-US" w:eastAsia="en-US"/>
        </w:rPr>
        <w:t>2. Thường trực Hội đồng nhân dân Thành phố, các Ban, các Tổ đại biểu và</w:t>
        <w:br/>
        <w:t>đại biểu Hội đồng nhân dân Thành phố giám sát chặt chẽ quá trình tổ chức triển khai thực hiện Nghị quyết này.</w:t>
      </w:r>
    </w:p>
    <w:p>
      <w:pPr>
        <w:pStyle w:val="BodyText"/>
        <w:spacing w:before="120" w:after="120"/>
        <w:ind w:firstLine="567" w:right="0"/>
        <w:jc w:val="both"/>
        <w:rPr>
          <w:rFonts w:ascii="Times New Roman" w:hAnsi="Times New Roman" w:cs="Times New Roman"/>
          <w:bCs/>
          <w:color w:val="000000"/>
          <w:sz w:val="28"/>
          <w:szCs w:val="28"/>
          <w:lang w:val="en-US"/>
        </w:rPr>
      </w:pPr>
      <w:r>
        <w:rPr>
          <w:rFonts w:cs="Times New Roman" w:ascii="Times New Roman" w:hAnsi="Times New Roman"/>
          <w:bCs/>
          <w:color w:val="000000"/>
          <w:spacing w:val="-4"/>
          <w:sz w:val="28"/>
          <w:szCs w:val="28"/>
          <w:lang w:val="vi-VN"/>
        </w:rPr>
        <w:t xml:space="preserve">Điều </w:t>
      </w:r>
      <w:r>
        <w:rPr>
          <w:rFonts w:cs="Times New Roman" w:ascii="Times New Roman" w:hAnsi="Times New Roman"/>
          <w:bCs/>
          <w:color w:val="000000"/>
          <w:spacing w:val="-4"/>
          <w:sz w:val="28"/>
          <w:szCs w:val="28"/>
          <w:lang w:val="en-US"/>
        </w:rPr>
        <w:t>6</w:t>
      </w:r>
      <w:r>
        <w:rPr>
          <w:rFonts w:cs="Times New Roman" w:ascii="Times New Roman" w:hAnsi="Times New Roman"/>
          <w:bCs/>
          <w:color w:val="000000"/>
          <w:spacing w:val="-4"/>
          <w:sz w:val="28"/>
          <w:szCs w:val="28"/>
          <w:lang w:val="vi-VN"/>
        </w:rPr>
        <w:t>.</w:t>
      </w:r>
      <w:r>
        <w:rPr>
          <w:rFonts w:cs="Times New Roman" w:ascii="Times New Roman" w:hAnsi="Times New Roman"/>
          <w:bCs/>
          <w:color w:val="000000"/>
          <w:spacing w:val="-4"/>
          <w:sz w:val="28"/>
          <w:szCs w:val="28"/>
          <w:lang w:val="en-US"/>
        </w:rPr>
        <w:t xml:space="preserve"> Điều khoản thi hành</w:t>
      </w:r>
    </w:p>
    <w:p>
      <w:pPr>
        <w:pStyle w:val="NormalWeb"/>
        <w:spacing w:before="120" w:after="120"/>
        <w:ind w:firstLine="567" w:right="0"/>
        <w:jc w:val="both"/>
        <w:rPr>
          <w:bCs/>
          <w:iCs/>
          <w:color w:val="000000"/>
          <w:sz w:val="28"/>
          <w:szCs w:val="28"/>
        </w:rPr>
      </w:pPr>
      <w:r>
        <w:rPr>
          <w:bCs/>
          <w:iCs/>
          <w:color w:val="000000"/>
          <w:sz w:val="28"/>
          <w:szCs w:val="28"/>
        </w:rPr>
        <w:t>1. Nghị quyết này có hiệu lực thi hành từ ngày …. tháng …. năm 2026.</w:t>
      </w:r>
    </w:p>
    <w:p>
      <w:pPr>
        <w:pStyle w:val="NormalWeb"/>
        <w:spacing w:before="120" w:after="120"/>
        <w:ind w:firstLine="567" w:right="0"/>
        <w:jc w:val="both"/>
        <w:rPr>
          <w:bCs/>
          <w:iCs/>
          <w:color w:val="000000"/>
          <w:sz w:val="28"/>
          <w:szCs w:val="28"/>
        </w:rPr>
      </w:pPr>
      <w:r>
        <w:rPr>
          <w:bCs/>
          <w:iCs/>
          <w:color w:val="000000"/>
          <w:sz w:val="28"/>
          <w:szCs w:val="28"/>
        </w:rPr>
        <w:t>2. Nghị quyết này bãi bỏ các Nghị quyết sau:</w:t>
      </w:r>
    </w:p>
    <w:p>
      <w:pPr>
        <w:pStyle w:val="Normal"/>
        <w:spacing w:before="120" w:after="120"/>
        <w:ind w:firstLine="567" w:right="0"/>
        <w:jc w:val="both"/>
        <w:rPr>
          <w:color w:val="000000"/>
          <w:sz w:val="28"/>
          <w:szCs w:val="28"/>
        </w:rPr>
      </w:pPr>
      <w:r>
        <w:rPr>
          <w:color w:val="000000"/>
          <w:sz w:val="28"/>
          <w:szCs w:val="28"/>
        </w:rPr>
        <w:t xml:space="preserve">a) Nghị quyết số 124/2016/NQ-HĐND ngày 09 tháng 12 năm 2016 của Hội đồng nhân dân Thành phố Hồ Chí Minh </w:t>
      </w:r>
      <w:r>
        <w:rPr>
          <w:color w:val="000000"/>
          <w:sz w:val="28"/>
          <w:szCs w:val="28"/>
          <w:shd w:fill="FFFFFF" w:val="clear"/>
        </w:rPr>
        <w:t>về ban hành các loại phí, lệ phí thuộc thẩm quyền của Hội đồng nhân dân Thành Phố.</w:t>
      </w:r>
    </w:p>
    <w:p>
      <w:pPr>
        <w:pStyle w:val="Normal"/>
        <w:spacing w:before="120" w:after="120"/>
        <w:ind w:firstLine="567" w:right="0"/>
        <w:jc w:val="both"/>
        <w:rPr>
          <w:color w:val="000000"/>
          <w:sz w:val="28"/>
          <w:szCs w:val="28"/>
        </w:rPr>
      </w:pPr>
      <w:r>
        <w:rPr>
          <w:color w:val="000000"/>
          <w:sz w:val="28"/>
          <w:szCs w:val="28"/>
        </w:rPr>
        <w:t>b) Nghị quyết số 66/2016/NQ-HĐND ngày 16 tháng 12 năm 2016 của Hội đồng nhân dân tỉnh Bình Dương v</w:t>
      </w:r>
      <w:r>
        <w:rPr>
          <w:rStyle w:val="fontstyle01"/>
          <w:b w:val="false"/>
        </w:rPr>
        <w:t xml:space="preserve">ề chế độ thu, nộp và quản lý </w:t>
      </w:r>
      <w:r>
        <w:rPr>
          <w:color w:val="000000"/>
          <w:sz w:val="28"/>
          <w:szCs w:val="28"/>
          <w:shd w:fill="FFFFFF" w:val="clear"/>
        </w:rPr>
        <w:t>lệ phí cấp giấy chứng nhận quyền sử dụng đất, quyền sở hữu nhà, tài sản gắn liền với đất trên địa bàn tỉnh Bình Dương.</w:t>
      </w:r>
    </w:p>
    <w:p>
      <w:pPr>
        <w:pStyle w:val="Normal"/>
        <w:spacing w:before="120" w:after="120"/>
        <w:ind w:firstLine="567" w:right="0"/>
        <w:jc w:val="both"/>
        <w:rPr>
          <w:color w:val="000000"/>
          <w:sz w:val="28"/>
          <w:szCs w:val="28"/>
        </w:rPr>
      </w:pPr>
      <w:r>
        <w:rPr>
          <w:color w:val="000000"/>
          <w:sz w:val="28"/>
          <w:szCs w:val="28"/>
        </w:rPr>
        <w:t>c) Nghị quyết số 07/2024/NQ-HĐND ngày 17 tháng 7 năm 2024 của Hội đồng nhân dân tỉnh Bà Rịa - Vũng Tàu quy định về mức thu, chế độ thu, nộp và quản lý</w:t>
      </w:r>
      <w:r>
        <w:rPr>
          <w:color w:val="000000"/>
          <w:sz w:val="28"/>
          <w:szCs w:val="28"/>
          <w:shd w:fill="FFFFFF" w:val="clear"/>
        </w:rPr>
        <w:t xml:space="preserve"> lệ phí cấp giấy chứng nhận quyền sử dụng đất, quyền sở hữu nhà, tài sản gắn liền với đất trên địa bàn tỉnh Bà Rịa – Vũng Tàu.</w:t>
      </w:r>
    </w:p>
    <w:p>
      <w:pPr>
        <w:pStyle w:val="Normal"/>
        <w:spacing w:before="120" w:after="120"/>
        <w:ind w:firstLine="567" w:right="0"/>
        <w:jc w:val="both"/>
        <w:rPr>
          <w:bCs/>
          <w:color w:val="000000"/>
          <w:sz w:val="28"/>
          <w:szCs w:val="28"/>
        </w:rPr>
      </w:pPr>
      <w:r>
        <w:rPr>
          <w:bCs/>
          <w:color w:val="000000"/>
          <w:sz w:val="28"/>
          <w:szCs w:val="28"/>
          <w:lang w:val="pt-BR"/>
        </w:rPr>
        <w:t>3. Trường hợp các văn bản được viễn dẫn, dẫn chiếu tại Nghị quyết này đã được sửa đổi, bổ sung hoặc thay thế thì áp dụng theo các văn bản mới ban hành trừ trường hợp pháp luật có quy định khác.</w:t>
      </w:r>
    </w:p>
    <w:p>
      <w:pPr>
        <w:pStyle w:val="Normal"/>
        <w:spacing w:before="120" w:after="120"/>
        <w:ind w:firstLine="567" w:right="0"/>
        <w:jc w:val="both"/>
        <w:rPr>
          <w:color w:val="000000"/>
          <w:spacing w:val="3"/>
          <w:sz w:val="28"/>
          <w:szCs w:val="28"/>
          <w:shd w:fill="FFFFFF" w:val="clear"/>
        </w:rPr>
      </w:pPr>
      <w:r>
        <w:rPr>
          <w:i/>
          <w:iCs/>
          <w:color w:val="000000"/>
          <w:sz w:val="28"/>
          <w:szCs w:val="28"/>
          <w:lang w:val="vi-VN"/>
        </w:rPr>
        <w:t xml:space="preserve">Nghị quyết này đã được Hội đồng nhân dân </w:t>
      </w:r>
      <w:r>
        <w:rPr>
          <w:i/>
          <w:iCs/>
          <w:color w:val="000000"/>
          <w:sz w:val="28"/>
          <w:szCs w:val="28"/>
        </w:rPr>
        <w:t>T</w:t>
      </w:r>
      <w:r>
        <w:rPr>
          <w:i/>
          <w:iCs/>
          <w:color w:val="000000"/>
          <w:sz w:val="28"/>
          <w:szCs w:val="28"/>
          <w:lang w:val="vi-VN"/>
        </w:rPr>
        <w:t xml:space="preserve">hành phố </w:t>
      </w:r>
      <w:r>
        <w:rPr>
          <w:i/>
          <w:iCs/>
          <w:color w:val="000000"/>
          <w:sz w:val="28"/>
          <w:szCs w:val="28"/>
        </w:rPr>
        <w:t>Hồ Chí Minh</w:t>
      </w:r>
      <w:r>
        <w:rPr>
          <w:i/>
          <w:iCs/>
          <w:color w:val="000000"/>
          <w:sz w:val="28"/>
          <w:szCs w:val="28"/>
          <w:lang w:val="vi-VN"/>
        </w:rPr>
        <w:t xml:space="preserve"> Khóa ... Kỳ họp thứ …. </w:t>
      </w:r>
      <w:r>
        <w:rPr>
          <w:i/>
          <w:iCs/>
          <w:color w:val="000000"/>
          <w:sz w:val="28"/>
          <w:szCs w:val="28"/>
        </w:rPr>
        <w:t>t</w:t>
      </w:r>
      <w:r>
        <w:rPr>
          <w:i/>
          <w:iCs/>
          <w:color w:val="000000"/>
          <w:sz w:val="28"/>
          <w:szCs w:val="28"/>
          <w:lang w:val="vi-VN"/>
        </w:rPr>
        <w:t>hông qua ngày … tháng … năm</w:t>
      </w:r>
      <w:r>
        <w:rPr>
          <w:i/>
          <w:iCs/>
          <w:color w:val="000000"/>
          <w:sz w:val="28"/>
          <w:szCs w:val="28"/>
        </w:rPr>
        <w:t>…2026./.</w:t>
      </w:r>
    </w:p>
    <w:p>
      <w:pPr>
        <w:pStyle w:val="Normal"/>
        <w:spacing w:before="180" w:after="180"/>
        <w:ind w:firstLine="567" w:right="0"/>
        <w:jc w:val="both"/>
        <w:rPr>
          <w:bCs/>
          <w:color w:val="000000"/>
          <w:sz w:val="28"/>
          <w:szCs w:val="28"/>
        </w:rPr>
      </w:pPr>
      <w:r>
        <w:rPr>
          <w:bCs/>
          <w:color w:val="000000"/>
          <w:spacing w:val="3"/>
          <w:sz w:val="28"/>
          <w:szCs w:val="28"/>
          <w:shd w:fill="FFFFFF" w:val="clear"/>
        </w:rPr>
      </w:r>
      <w:bookmarkStart w:id="7" w:name="_Hlk212887460"/>
      <w:bookmarkEnd w:id="3"/>
      <w:bookmarkEnd w:id="5"/>
      <w:bookmarkEnd w:id="6"/>
    </w:p>
    <w:tbl>
      <w:tblPr>
        <w:tblW w:w="9430" w:type="dxa"/>
        <w:jc w:val="left"/>
        <w:tblInd w:w="0" w:type="dxa"/>
        <w:tblLayout w:type="fixed"/>
        <w:tblCellMar>
          <w:top w:w="0" w:type="dxa"/>
          <w:left w:w="108" w:type="dxa"/>
          <w:bottom w:w="0" w:type="dxa"/>
          <w:right w:w="108" w:type="dxa"/>
        </w:tblCellMar>
      </w:tblPr>
      <w:tblGrid>
        <w:gridCol w:w="4786"/>
        <w:gridCol w:w="4644"/>
      </w:tblGrid>
      <w:tr>
        <w:trPr/>
        <w:tc>
          <w:tcPr>
            <w:tcW w:w="4786" w:type="dxa"/>
            <w:tcBorders/>
          </w:tcPr>
          <w:p>
            <w:pPr>
              <w:pStyle w:val="Normal"/>
              <w:rPr>
                <w:b/>
                <w:bCs/>
                <w:i/>
                <w:iCs/>
                <w:color w:val="000000"/>
                <w:lang w:val="vi-VN"/>
              </w:rPr>
            </w:pPr>
            <w:r>
              <w:rPr>
                <w:b/>
                <w:bCs/>
                <w:i/>
                <w:iCs/>
                <w:color w:val="000000"/>
                <w:lang w:val="vi-VN"/>
              </w:rPr>
              <w:t>Nơi nhận:</w:t>
            </w:r>
          </w:p>
          <w:p>
            <w:pPr>
              <w:pStyle w:val="Normal"/>
              <w:rPr>
                <w:bCs/>
                <w:iCs/>
                <w:color w:val="000000"/>
                <w:sz w:val="22"/>
                <w:lang w:val="vi-VN"/>
              </w:rPr>
            </w:pPr>
            <w:r>
              <w:rPr>
                <w:bCs/>
                <w:iCs/>
                <w:color w:val="000000"/>
                <w:sz w:val="22"/>
                <w:lang w:val="vi-VN"/>
              </w:rPr>
              <w:t xml:space="preserve">- Ủy ban </w:t>
            </w:r>
            <w:r>
              <w:rPr>
                <w:bCs/>
                <w:iCs/>
                <w:color w:val="000000"/>
                <w:sz w:val="22"/>
              </w:rPr>
              <w:t>T</w:t>
            </w:r>
            <w:r>
              <w:rPr>
                <w:bCs/>
                <w:iCs/>
                <w:color w:val="000000"/>
                <w:sz w:val="22"/>
                <w:lang w:val="vi-VN"/>
              </w:rPr>
              <w:t>hường vụ Quốc hội;</w:t>
            </w:r>
          </w:p>
          <w:p>
            <w:pPr>
              <w:pStyle w:val="Normal"/>
              <w:rPr>
                <w:bCs/>
                <w:iCs/>
                <w:color w:val="000000"/>
                <w:sz w:val="22"/>
                <w:lang w:val="vi-VN"/>
              </w:rPr>
            </w:pPr>
            <w:r>
              <w:rPr>
                <w:bCs/>
                <w:iCs/>
                <w:color w:val="000000"/>
                <w:sz w:val="22"/>
                <w:lang w:val="vi-VN"/>
              </w:rPr>
              <w:t xml:space="preserve">- </w:t>
            </w:r>
            <w:r>
              <w:rPr>
                <w:bCs/>
                <w:iCs/>
                <w:color w:val="000000"/>
                <w:sz w:val="22"/>
              </w:rPr>
              <w:t>Văn phòng: Quốc hội, Chính phủ</w:t>
            </w:r>
            <w:r>
              <w:rPr>
                <w:bCs/>
                <w:iCs/>
                <w:color w:val="000000"/>
                <w:sz w:val="22"/>
                <w:lang w:val="vi-VN"/>
              </w:rPr>
              <w:t>;</w:t>
            </w:r>
          </w:p>
          <w:p>
            <w:pPr>
              <w:pStyle w:val="Normal"/>
              <w:rPr>
                <w:bCs/>
                <w:iCs/>
                <w:color w:val="000000"/>
                <w:sz w:val="22"/>
              </w:rPr>
            </w:pPr>
            <w:r>
              <w:rPr>
                <w:bCs/>
                <w:iCs/>
                <w:color w:val="000000"/>
                <w:sz w:val="22"/>
              </w:rPr>
              <w:t>- Các Bộ: Nội vụ, Tài chính; Tư pháp; Bộ Nông nghiệp và Môi trường;</w:t>
            </w:r>
          </w:p>
          <w:p>
            <w:pPr>
              <w:pStyle w:val="Normal"/>
              <w:rPr>
                <w:iCs/>
                <w:color w:val="000000"/>
                <w:spacing w:val="-10"/>
              </w:rPr>
            </w:pPr>
            <w:r>
              <w:rPr>
                <w:bCs/>
                <w:iCs/>
                <w:color w:val="000000"/>
                <w:spacing w:val="-10"/>
                <w:sz w:val="22"/>
              </w:rPr>
              <w:t xml:space="preserve">- </w:t>
            </w:r>
            <w:r>
              <w:rPr>
                <w:iCs/>
                <w:color w:val="000000"/>
                <w:spacing w:val="-10"/>
              </w:rPr>
              <w:t>Cục Kiểm tra VB và Tổ chức THPL- Bộ Tư pháp;</w:t>
            </w:r>
          </w:p>
          <w:p>
            <w:pPr>
              <w:pStyle w:val="Normal"/>
              <w:rPr>
                <w:iCs/>
                <w:color w:val="000000"/>
              </w:rPr>
            </w:pPr>
            <w:r>
              <w:rPr>
                <w:iCs/>
                <w:color w:val="000000"/>
              </w:rPr>
              <w:t>- Thường trực Thành ủy;</w:t>
            </w:r>
          </w:p>
          <w:p>
            <w:pPr>
              <w:pStyle w:val="Normal"/>
              <w:rPr>
                <w:iCs/>
                <w:color w:val="000000"/>
              </w:rPr>
            </w:pPr>
            <w:r>
              <w:rPr>
                <w:iCs/>
                <w:color w:val="000000"/>
              </w:rPr>
              <w:t>- Đoàn đại biểu Quốc hội Thành phố;</w:t>
            </w:r>
          </w:p>
          <w:p>
            <w:pPr>
              <w:pStyle w:val="Normal"/>
              <w:rPr>
                <w:iCs/>
                <w:color w:val="000000"/>
              </w:rPr>
            </w:pPr>
            <w:r>
              <w:rPr>
                <w:iCs/>
                <w:color w:val="000000"/>
              </w:rPr>
              <w:t>- Thường trực HĐND, UBND, UBMTTQVN</w:t>
            </w:r>
          </w:p>
          <w:p>
            <w:pPr>
              <w:pStyle w:val="Normal"/>
              <w:rPr>
                <w:iCs/>
                <w:color w:val="000000"/>
              </w:rPr>
            </w:pPr>
            <w:r>
              <w:rPr>
                <w:iCs/>
                <w:color w:val="000000"/>
              </w:rPr>
              <w:t xml:space="preserve">   </w:t>
            </w:r>
            <w:r>
              <w:rPr>
                <w:iCs/>
                <w:color w:val="000000"/>
              </w:rPr>
              <w:t>Thành phố;</w:t>
            </w:r>
          </w:p>
          <w:p>
            <w:pPr>
              <w:pStyle w:val="Normal"/>
              <w:rPr>
                <w:iCs/>
                <w:color w:val="000000"/>
              </w:rPr>
            </w:pPr>
            <w:r>
              <w:rPr>
                <w:iCs/>
                <w:color w:val="000000"/>
              </w:rPr>
              <w:t>- Đại biểu HĐND Thành phố;</w:t>
            </w:r>
          </w:p>
          <w:p>
            <w:pPr>
              <w:pStyle w:val="Normal"/>
              <w:rPr>
                <w:iCs/>
                <w:color w:val="000000"/>
              </w:rPr>
            </w:pPr>
            <w:r>
              <w:rPr>
                <w:iCs/>
                <w:color w:val="000000"/>
              </w:rPr>
              <w:t>- Các Sở, ban, ngành Thành phố;</w:t>
            </w:r>
          </w:p>
          <w:p>
            <w:pPr>
              <w:pStyle w:val="Normal"/>
              <w:rPr>
                <w:iCs/>
                <w:color w:val="000000"/>
              </w:rPr>
            </w:pPr>
            <w:r>
              <w:rPr>
                <w:iCs/>
                <w:color w:val="000000"/>
              </w:rPr>
              <w:t xml:space="preserve">- Văn phòng: Thành ủy, Đoàn ĐBQH&amp;HĐND, </w:t>
            </w:r>
          </w:p>
          <w:p>
            <w:pPr>
              <w:pStyle w:val="Normal"/>
              <w:rPr>
                <w:iCs/>
                <w:color w:val="000000"/>
              </w:rPr>
            </w:pPr>
            <w:r>
              <w:rPr>
                <w:iCs/>
                <w:color w:val="000000"/>
              </w:rPr>
              <w:t xml:space="preserve">   </w:t>
            </w:r>
            <w:r>
              <w:rPr>
                <w:iCs/>
                <w:color w:val="000000"/>
              </w:rPr>
              <w:t>UBND Thành phố;</w:t>
            </w:r>
          </w:p>
          <w:p>
            <w:pPr>
              <w:pStyle w:val="Normal"/>
              <w:rPr>
                <w:iCs/>
                <w:color w:val="000000"/>
              </w:rPr>
            </w:pPr>
            <w:r>
              <w:rPr>
                <w:iCs/>
                <w:color w:val="000000"/>
              </w:rPr>
              <w:t>- Thường trực HĐND, UBND, UBMTTQVN</w:t>
            </w:r>
          </w:p>
          <w:p>
            <w:pPr>
              <w:pStyle w:val="Normal"/>
              <w:rPr>
                <w:iCs/>
                <w:color w:val="000000"/>
              </w:rPr>
            </w:pPr>
            <w:r>
              <w:rPr>
                <w:iCs/>
                <w:color w:val="000000"/>
              </w:rPr>
              <w:t xml:space="preserve">   </w:t>
            </w:r>
            <w:r>
              <w:rPr>
                <w:iCs/>
                <w:color w:val="000000"/>
              </w:rPr>
              <w:t>cấp xã;</w:t>
            </w:r>
          </w:p>
          <w:p>
            <w:pPr>
              <w:pStyle w:val="Normal"/>
              <w:rPr>
                <w:bCs/>
                <w:iCs/>
                <w:color w:val="000000"/>
                <w:sz w:val="22"/>
              </w:rPr>
            </w:pPr>
            <w:r>
              <w:rPr>
                <w:iCs/>
                <w:color w:val="000000"/>
              </w:rPr>
              <w:t>- Trung tâm Thông tin điện tử Thành phố;</w:t>
            </w:r>
          </w:p>
          <w:p>
            <w:pPr>
              <w:pStyle w:val="Normal"/>
              <w:spacing w:before="120" w:after="120"/>
              <w:jc w:val="both"/>
              <w:rPr>
                <w:bCs/>
                <w:color w:val="000000"/>
                <w:sz w:val="28"/>
                <w:szCs w:val="28"/>
                <w:lang w:val="pt-BR"/>
              </w:rPr>
            </w:pPr>
            <w:r>
              <w:rPr>
                <w:bCs/>
                <w:iCs/>
                <w:color w:val="000000"/>
                <w:sz w:val="22"/>
                <w:lang w:val="vi-VN"/>
              </w:rPr>
              <w:t>- Lưu VT</w:t>
            </w:r>
            <w:r>
              <w:rPr>
                <w:bCs/>
                <w:iCs/>
                <w:color w:val="000000"/>
                <w:sz w:val="22"/>
              </w:rPr>
              <w:t>, …</w:t>
            </w:r>
          </w:p>
        </w:tc>
        <w:tc>
          <w:tcPr>
            <w:tcW w:w="4644" w:type="dxa"/>
            <w:tcBorders/>
          </w:tcPr>
          <w:p>
            <w:pPr>
              <w:pStyle w:val="Normal"/>
              <w:ind w:hanging="6" w:right="0"/>
              <w:jc w:val="center"/>
              <w:rPr>
                <w:b/>
                <w:bCs/>
                <w:color w:val="000000"/>
                <w:sz w:val="28"/>
                <w:szCs w:val="28"/>
                <w:lang w:val="vi-VN"/>
              </w:rPr>
            </w:pPr>
            <w:r>
              <w:rPr>
                <w:b/>
                <w:bCs/>
                <w:color w:val="000000"/>
                <w:sz w:val="28"/>
                <w:szCs w:val="28"/>
                <w:lang w:val="vi-VN"/>
              </w:rPr>
              <w:t>CHỦ TỊCH</w:t>
            </w:r>
          </w:p>
        </w:tc>
      </w:tr>
    </w:tbl>
    <w:p>
      <w:pPr>
        <w:pStyle w:val="Normal"/>
        <w:jc w:val="center"/>
        <w:rPr>
          <w:b/>
          <w:color w:val="000000"/>
          <w:sz w:val="28"/>
          <w:szCs w:val="28"/>
          <w:lang w:val="nl-NL"/>
        </w:rPr>
      </w:pPr>
      <w:bookmarkEnd w:id="7"/>
      <w:r>
        <w:rPr>
          <w:b/>
          <w:color w:val="000000"/>
          <w:sz w:val="28"/>
        </w:rPr>
        <w:t>P</w:t>
      </w:r>
      <w:r>
        <w:rPr>
          <w:b/>
          <w:color w:val="000000"/>
          <w:sz w:val="28"/>
          <w:szCs w:val="28"/>
          <w:lang w:val="nl-NL"/>
        </w:rPr>
        <w:t>hụ lục</w:t>
      </w:r>
    </w:p>
    <w:p>
      <w:pPr>
        <w:pStyle w:val="Normal"/>
        <w:jc w:val="center"/>
        <w:rPr>
          <w:b/>
          <w:color w:val="000000"/>
          <w:sz w:val="28"/>
          <w:szCs w:val="28"/>
        </w:rPr>
      </w:pPr>
      <w:r>
        <w:rPr>
          <w:b/>
          <w:color w:val="000000"/>
          <w:sz w:val="28"/>
          <w:szCs w:val="28"/>
        </w:rPr>
        <w:t xml:space="preserve">MỨC THU </w:t>
      </w:r>
      <w:r>
        <w:rPr>
          <w:b/>
          <w:color w:val="000000"/>
          <w:sz w:val="28"/>
          <w:szCs w:val="28"/>
          <w:shd w:fill="FFFFFF" w:val="clear"/>
        </w:rPr>
        <w:t>LỆ PHÍ CẤP GIẤY CHỨNG NHẬN QUYỀN SỬ DỤNG ĐẤT, QUYỀN SỞ HỮU NHÀ, TÀI SẢN GẮN LIỀN VỚI ĐẤT TRÊN ĐỊA BÀN THÀNH PHỐ HỒ CHÍ MINH</w:t>
      </w:r>
    </w:p>
    <w:p>
      <w:pPr>
        <w:pStyle w:val="Normal"/>
        <w:shd w:fill="FFFFFF" w:val="clear"/>
        <w:jc w:val="center"/>
        <w:rPr>
          <w:i/>
          <w:color w:val="000000"/>
          <w:sz w:val="28"/>
          <w:szCs w:val="28"/>
        </w:rPr>
      </w:pPr>
      <w:r>
        <w:rPr>
          <w:i/>
          <w:color w:val="000000"/>
          <w:sz w:val="28"/>
          <w:szCs w:val="28"/>
        </w:rPr>
        <w:t>(Ban hành kèm theo Nghị quyết số …/2026/NQ-HĐND ngày … tháng … năm 2026 của Hội đồng nhân dân Thành phố)</w:t>
      </w:r>
    </w:p>
    <w:p>
      <w:pPr>
        <w:pStyle w:val="Normal"/>
        <w:widowControl w:val="false"/>
        <w:spacing w:before="120" w:after="120"/>
        <w:rPr>
          <w:b/>
          <w:bCs/>
          <w:iCs/>
          <w:color w:val="000000"/>
          <w:sz w:val="26"/>
          <w:szCs w:val="26"/>
          <w:shd w:fill="FFFFFF" w:val="clear"/>
        </w:rPr>
      </w:pPr>
      <w:r>
        <w:rPr>
          <w:b/>
          <w:bCs/>
          <w:i/>
          <w:iCs/>
          <w:color w:val="000000"/>
          <w:sz w:val="26"/>
          <w:szCs w:val="26"/>
          <w:shd w:fill="FFFFFF" w:val="clear"/>
          <w:lang w:val="vi-VN" w:eastAsia="vi-VN"/>
        </w:rPr>
        <mc:AlternateContent>
          <mc:Choice Requires="wps">
            <w:drawing>
              <wp:anchor distT="0" distB="0" distL="114935" distR="114935" simplePos="0" relativeHeight="5" behindDoc="0" locked="0" layoutInCell="1" allowOverlap="1">
                <wp:simplePos x="0" y="0"/>
                <wp:positionH relativeFrom="column">
                  <wp:posOffset>2277110</wp:posOffset>
                </wp:positionH>
                <wp:positionV relativeFrom="paragraph">
                  <wp:posOffset>73025</wp:posOffset>
                </wp:positionV>
                <wp:extent cx="1205230" cy="1270"/>
                <wp:effectExtent l="635" t="5080" r="635" b="5080"/>
                <wp:wrapNone/>
                <wp:docPr id="4" name=""/>
                <a:graphic xmlns:a="http://schemas.openxmlformats.org/drawingml/2006/main">
                  <a:graphicData uri="http://schemas.microsoft.com/office/word/2010/wordprocessingShape">
                    <wps:wsp>
                      <wps:cNvCnPr/>
                      <wps:spPr>
                        <a:xfrm>
                          <a:off x="0" y="0"/>
                          <a:ext cx="1205640" cy="1440"/>
                        </a:xfrm>
                        <a:prstGeom prst="straightConnector1">
                          <a:avLst/>
                        </a:prstGeom>
                        <a:ln w="9360">
                          <a:solidFill>
                            <a:srgbClr val="000000"/>
                          </a:solidFill>
                          <a:miter/>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179.3pt;margin-top:5.75pt;width:94.9pt;height:0.05pt" type="_x0000_t32">
                <v:stroke color="black" weight="9360" joinstyle="miter" endcap="flat"/>
                <v:fill o:detectmouseclick="t" on="false"/>
                <w10:wrap type="none"/>
              </v:shape>
            </w:pict>
          </mc:Fallback>
        </mc:AlternateContent>
      </w:r>
    </w:p>
    <w:p>
      <w:pPr>
        <w:pStyle w:val="Normal"/>
        <w:widowControl w:val="false"/>
        <w:spacing w:before="120" w:after="120"/>
        <w:rPr>
          <w:b/>
          <w:bCs/>
          <w:iCs/>
          <w:color w:val="000000"/>
          <w:sz w:val="26"/>
          <w:szCs w:val="26"/>
          <w:shd w:fill="FFFFFF" w:val="clear"/>
        </w:rPr>
      </w:pPr>
      <w:r>
        <w:rPr>
          <w:b/>
          <w:bCs/>
          <w:iCs/>
          <w:color w:val="000000"/>
          <w:sz w:val="26"/>
          <w:szCs w:val="26"/>
          <w:shd w:fill="FFFFFF" w:val="clear"/>
        </w:rPr>
        <w:t>I. Lệ phí áp dụng cho trường hợp nộp hồ sơ trực tiếp</w:t>
      </w:r>
    </w:p>
    <w:p>
      <w:pPr>
        <w:pStyle w:val="Normal"/>
        <w:widowControl w:val="false"/>
        <w:spacing w:before="120" w:after="120"/>
        <w:ind w:firstLine="567" w:right="0"/>
        <w:jc w:val="right"/>
        <w:rPr>
          <w:b/>
          <w:bCs/>
          <w:color w:val="000000"/>
          <w:sz w:val="28"/>
          <w:szCs w:val="28"/>
        </w:rPr>
      </w:pPr>
      <w:r>
        <w:rPr>
          <w:b/>
          <w:bCs/>
          <w:i/>
          <w:iCs/>
          <w:color w:val="000000"/>
          <w:sz w:val="28"/>
          <w:szCs w:val="28"/>
          <w:shd w:fill="FFFFFF" w:val="clear"/>
        </w:rPr>
        <w:t>Đơn vị: Đồng/Đơn vị tính</w:t>
      </w:r>
    </w:p>
    <w:tbl>
      <w:tblPr>
        <w:tblW w:w="5050" w:type="pct"/>
        <w:jc w:val="left"/>
        <w:tblInd w:w="0" w:type="dxa"/>
        <w:tblLayout w:type="fixed"/>
        <w:tblCellMar>
          <w:top w:w="0" w:type="dxa"/>
          <w:left w:w="10" w:type="dxa"/>
          <w:bottom w:w="0" w:type="dxa"/>
          <w:right w:w="10" w:type="dxa"/>
        </w:tblCellMar>
      </w:tblPr>
      <w:tblGrid>
        <w:gridCol w:w="570"/>
        <w:gridCol w:w="3851"/>
        <w:gridCol w:w="969"/>
        <w:gridCol w:w="1308"/>
        <w:gridCol w:w="1224"/>
        <w:gridCol w:w="1239"/>
      </w:tblGrid>
      <w:tr>
        <w:trPr>
          <w:tblHeader w:val="true"/>
          <w:trHeight w:val="23" w:hRule="atLeast"/>
        </w:trPr>
        <w:tc>
          <w:tcPr>
            <w:tcW w:w="570"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b/>
                <w:bCs/>
                <w:color w:val="000000"/>
                <w:sz w:val="26"/>
                <w:szCs w:val="26"/>
              </w:rPr>
              <w:t>Số TT</w:t>
            </w:r>
          </w:p>
        </w:tc>
        <w:tc>
          <w:tcPr>
            <w:tcW w:w="3851"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b/>
                <w:bCs/>
                <w:color w:val="000000"/>
                <w:sz w:val="26"/>
                <w:szCs w:val="26"/>
              </w:rPr>
              <w:t>Loại tài liệu</w:t>
            </w:r>
          </w:p>
        </w:tc>
        <w:tc>
          <w:tcPr>
            <w:tcW w:w="969"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b/>
                <w:bCs/>
                <w:color w:val="000000"/>
                <w:sz w:val="26"/>
                <w:szCs w:val="26"/>
              </w:rPr>
              <w:t>Đơn vị tính</w:t>
            </w:r>
          </w:p>
        </w:tc>
        <w:tc>
          <w:tcPr>
            <w:tcW w:w="3771"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b/>
                <w:bCs/>
                <w:color w:val="000000"/>
                <w:sz w:val="26"/>
                <w:szCs w:val="26"/>
              </w:rPr>
            </w:pPr>
            <w:r>
              <w:rPr>
                <w:b/>
                <w:bCs/>
                <w:color w:val="000000"/>
                <w:sz w:val="26"/>
                <w:szCs w:val="26"/>
              </w:rPr>
              <w:t>Mức thu</w:t>
            </w:r>
          </w:p>
        </w:tc>
      </w:tr>
      <w:tr>
        <w:trPr>
          <w:tblHeader w:val="true"/>
          <w:trHeight w:val="23" w:hRule="atLeast"/>
        </w:trPr>
        <w:tc>
          <w:tcPr>
            <w:tcW w:w="570"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b/>
                <w:bCs/>
                <w:color w:val="000000"/>
                <w:sz w:val="26"/>
                <w:szCs w:val="26"/>
              </w:rPr>
            </w:pPr>
            <w:r>
              <w:rPr>
                <w:b/>
                <w:bCs/>
                <w:color w:val="000000"/>
                <w:sz w:val="26"/>
                <w:szCs w:val="26"/>
              </w:rPr>
            </w:r>
          </w:p>
        </w:tc>
        <w:tc>
          <w:tcPr>
            <w:tcW w:w="3851"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b/>
                <w:bCs/>
                <w:color w:val="000000"/>
                <w:sz w:val="26"/>
                <w:szCs w:val="26"/>
              </w:rPr>
            </w:pPr>
            <w:r>
              <w:rPr>
                <w:b/>
                <w:bCs/>
                <w:color w:val="000000"/>
                <w:sz w:val="26"/>
                <w:szCs w:val="26"/>
              </w:rPr>
            </w:r>
          </w:p>
        </w:tc>
        <w:tc>
          <w:tcPr>
            <w:tcW w:w="969"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b/>
                <w:bCs/>
                <w:color w:val="000000"/>
                <w:sz w:val="26"/>
                <w:szCs w:val="26"/>
              </w:rPr>
            </w:pPr>
            <w:r>
              <w:rPr>
                <w:b/>
                <w:bCs/>
                <w:color w:val="000000"/>
                <w:sz w:val="26"/>
                <w:szCs w:val="26"/>
              </w:rPr>
            </w:r>
          </w:p>
        </w:tc>
        <w:tc>
          <w:tcPr>
            <w:tcW w:w="2532"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b/>
                <w:bCs/>
                <w:color w:val="000000"/>
                <w:sz w:val="26"/>
                <w:szCs w:val="26"/>
              </w:rPr>
            </w:pPr>
            <w:r>
              <w:rPr>
                <w:b/>
                <w:bCs/>
                <w:color w:val="000000"/>
                <w:sz w:val="26"/>
                <w:szCs w:val="26"/>
              </w:rPr>
              <w:t>Hộ gia đình, cá nhân</w:t>
            </w:r>
          </w:p>
        </w:tc>
        <w:tc>
          <w:tcPr>
            <w:tcW w:w="1239" w:type="dxa"/>
            <w:vMerge w:val="restart"/>
            <w:tcBorders>
              <w:top w:val="single" w:sz="4" w:space="0" w:color="000000"/>
              <w:left w:val="single" w:sz="4" w:space="0" w:color="000000"/>
              <w:bottom w:val="single" w:sz="4" w:space="0" w:color="000000"/>
              <w:right w:val="single" w:sz="4" w:space="0" w:color="000000"/>
            </w:tcBorders>
            <w:shd w:fill="FFFFFF" w:val="clear"/>
            <w:tcMar>
              <w:left w:w="0" w:type="dxa"/>
              <w:right w:w="0" w:type="dxa"/>
            </w:tcMar>
            <w:vAlign w:val="center"/>
          </w:tcPr>
          <w:p>
            <w:pPr>
              <w:pStyle w:val="Normal"/>
              <w:widowControl w:val="false"/>
              <w:spacing w:before="120" w:after="120"/>
              <w:jc w:val="center"/>
              <w:rPr>
                <w:b/>
                <w:bCs/>
                <w:color w:val="000000"/>
                <w:sz w:val="26"/>
                <w:szCs w:val="26"/>
              </w:rPr>
            </w:pPr>
            <w:r>
              <w:rPr>
                <w:b/>
                <w:bCs/>
                <w:color w:val="000000"/>
                <w:sz w:val="26"/>
                <w:szCs w:val="26"/>
              </w:rPr>
              <w:t>Tổ chức</w:t>
            </w:r>
          </w:p>
        </w:tc>
      </w:tr>
      <w:tr>
        <w:trPr>
          <w:tblHeader w:val="true"/>
          <w:trHeight w:val="23" w:hRule="atLeast"/>
        </w:trPr>
        <w:tc>
          <w:tcPr>
            <w:tcW w:w="570"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b/>
                <w:bCs/>
                <w:color w:val="000000"/>
                <w:sz w:val="26"/>
                <w:szCs w:val="26"/>
              </w:rPr>
            </w:pPr>
            <w:r>
              <w:rPr>
                <w:b/>
                <w:bCs/>
                <w:color w:val="000000"/>
                <w:sz w:val="26"/>
                <w:szCs w:val="26"/>
              </w:rPr>
            </w:r>
          </w:p>
        </w:tc>
        <w:tc>
          <w:tcPr>
            <w:tcW w:w="3851"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b/>
                <w:bCs/>
                <w:color w:val="000000"/>
                <w:sz w:val="26"/>
                <w:szCs w:val="26"/>
              </w:rPr>
            </w:pPr>
            <w:r>
              <w:rPr>
                <w:b/>
                <w:bCs/>
                <w:color w:val="000000"/>
                <w:sz w:val="26"/>
                <w:szCs w:val="26"/>
              </w:rPr>
            </w:r>
          </w:p>
        </w:tc>
        <w:tc>
          <w:tcPr>
            <w:tcW w:w="969"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b/>
                <w:bCs/>
                <w:color w:val="000000"/>
                <w:sz w:val="26"/>
                <w:szCs w:val="26"/>
              </w:rPr>
            </w:pPr>
            <w:r>
              <w:rPr>
                <w:b/>
                <w:bCs/>
                <w:color w:val="000000"/>
                <w:sz w:val="26"/>
                <w:szCs w:val="26"/>
              </w:rPr>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b/>
                <w:bCs/>
                <w:color w:val="000000"/>
                <w:sz w:val="26"/>
                <w:szCs w:val="26"/>
              </w:rPr>
            </w:pPr>
            <w:r>
              <w:rPr>
                <w:b/>
                <w:bCs/>
                <w:color w:val="000000"/>
                <w:sz w:val="26"/>
                <w:szCs w:val="26"/>
              </w:rPr>
              <w:t>Phường</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b/>
                <w:bCs/>
                <w:color w:val="000000"/>
                <w:sz w:val="26"/>
                <w:szCs w:val="26"/>
              </w:rPr>
            </w:pPr>
            <w:r>
              <w:rPr>
                <w:b/>
                <w:bCs/>
                <w:color w:val="000000"/>
                <w:sz w:val="26"/>
                <w:szCs w:val="26"/>
              </w:rPr>
              <w:t>Xã</w:t>
            </w:r>
          </w:p>
        </w:tc>
        <w:tc>
          <w:tcPr>
            <w:tcW w:w="1239" w:type="dxa"/>
            <w:vMerge w:val="continue"/>
            <w:tcBorders>
              <w:top w:val="single" w:sz="4" w:space="0" w:color="000000"/>
              <w:left w:val="single" w:sz="4" w:space="0" w:color="000000"/>
              <w:bottom w:val="single" w:sz="4" w:space="0" w:color="000000"/>
              <w:right w:val="single" w:sz="4" w:space="0" w:color="000000"/>
            </w:tcBorders>
            <w:shd w:fill="FFFFFF" w:val="clear"/>
            <w:tcMar>
              <w:left w:w="0" w:type="dxa"/>
              <w:right w:w="0" w:type="dxa"/>
            </w:tcMar>
            <w:vAlign w:val="center"/>
          </w:tcPr>
          <w:p>
            <w:pPr>
              <w:pStyle w:val="Normal"/>
              <w:widowControl w:val="false"/>
              <w:snapToGrid w:val="false"/>
              <w:spacing w:before="120" w:after="120"/>
              <w:jc w:val="center"/>
              <w:rPr>
                <w:b/>
                <w:bCs/>
                <w:color w:val="000000"/>
                <w:sz w:val="26"/>
                <w:szCs w:val="26"/>
              </w:rPr>
            </w:pPr>
            <w:r>
              <w:rPr>
                <w:b/>
                <w:bCs/>
                <w:color w:val="000000"/>
                <w:sz w:val="26"/>
                <w:szCs w:val="26"/>
              </w:rPr>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b/>
                <w:bCs/>
                <w:color w:val="000000"/>
                <w:sz w:val="26"/>
                <w:szCs w:val="26"/>
              </w:rPr>
              <w:t>I</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b/>
                <w:bCs/>
                <w:color w:val="000000"/>
                <w:sz w:val="26"/>
                <w:szCs w:val="26"/>
              </w:rPr>
              <w:t>Cấp Giấy chứng nhận lần đầu</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 </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 </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napToGrid w:val="false"/>
              <w:spacing w:before="120" w:after="120"/>
              <w:jc w:val="center"/>
              <w:rPr>
                <w:color w:val="000000"/>
                <w:sz w:val="26"/>
                <w:szCs w:val="26"/>
              </w:rPr>
            </w:pPr>
            <w:r>
              <w:rPr>
                <w:color w:val="000000"/>
                <w:sz w:val="26"/>
                <w:szCs w:val="26"/>
              </w:rPr>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napToGrid w:val="false"/>
              <w:spacing w:before="120" w:after="120"/>
              <w:jc w:val="center"/>
              <w:rPr>
                <w:color w:val="000000"/>
                <w:sz w:val="26"/>
                <w:szCs w:val="26"/>
              </w:rPr>
            </w:pPr>
            <w:r>
              <w:rPr>
                <w:color w:val="000000"/>
                <w:sz w:val="26"/>
                <w:szCs w:val="26"/>
              </w:rPr>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1</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color w:val="000000"/>
                <w:sz w:val="26"/>
                <w:szCs w:val="26"/>
              </w:rPr>
              <w:t>Hồ sơ đất</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Hồ sơ</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color w:val="000000"/>
                <w:sz w:val="26"/>
                <w:szCs w:val="26"/>
              </w:rPr>
            </w:pPr>
            <w:r>
              <w:rPr>
                <w:color w:val="000000"/>
                <w:sz w:val="26"/>
                <w:szCs w:val="26"/>
              </w:rPr>
            </w:r>
          </w:p>
          <w:p>
            <w:pPr>
              <w:pStyle w:val="Normal"/>
              <w:widowControl w:val="false"/>
              <w:spacing w:before="120" w:after="120"/>
              <w:jc w:val="center"/>
              <w:rPr>
                <w:color w:val="000000"/>
                <w:sz w:val="26"/>
                <w:szCs w:val="26"/>
              </w:rPr>
            </w:pPr>
            <w:r>
              <w:rPr>
                <w:color w:val="000000"/>
                <w:sz w:val="26"/>
                <w:szCs w:val="26"/>
              </w:rPr>
              <w:t>25.000</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0</w:t>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100.000</w:t>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2</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color w:val="000000"/>
                <w:sz w:val="26"/>
                <w:szCs w:val="26"/>
              </w:rPr>
              <w:t>Hồ sơ Tài sản</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Hồ sơ</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50.000</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50.000</w:t>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200.000</w:t>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3</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color w:val="000000"/>
                <w:sz w:val="26"/>
                <w:szCs w:val="26"/>
              </w:rPr>
              <w:t xml:space="preserve">Hồ sơ đất và tài sản </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Hồ sơ</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100.000</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50.000</w:t>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500.000</w:t>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b/>
                <w:bCs/>
                <w:color w:val="000000"/>
                <w:sz w:val="26"/>
                <w:szCs w:val="26"/>
              </w:rPr>
              <w:t>II</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b/>
                <w:bCs/>
                <w:color w:val="000000"/>
                <w:sz w:val="26"/>
                <w:szCs w:val="26"/>
              </w:rPr>
              <w:t>Cấp đổi, cấp lại Giấy chứng nhận</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color w:val="000000"/>
                <w:sz w:val="26"/>
                <w:szCs w:val="26"/>
              </w:rPr>
            </w:pPr>
            <w:r>
              <w:rPr>
                <w:color w:val="000000"/>
                <w:sz w:val="26"/>
                <w:szCs w:val="26"/>
              </w:rPr>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color w:val="000000"/>
                <w:sz w:val="26"/>
                <w:szCs w:val="26"/>
              </w:rPr>
            </w:pPr>
            <w:r>
              <w:rPr>
                <w:color w:val="000000"/>
                <w:sz w:val="26"/>
                <w:szCs w:val="26"/>
              </w:rPr>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napToGrid w:val="false"/>
              <w:spacing w:before="120" w:after="120"/>
              <w:jc w:val="center"/>
              <w:rPr>
                <w:color w:val="000000"/>
                <w:sz w:val="26"/>
                <w:szCs w:val="26"/>
              </w:rPr>
            </w:pPr>
            <w:r>
              <w:rPr>
                <w:color w:val="000000"/>
                <w:sz w:val="26"/>
                <w:szCs w:val="26"/>
              </w:rPr>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napToGrid w:val="false"/>
              <w:spacing w:before="120" w:after="120"/>
              <w:jc w:val="center"/>
              <w:rPr>
                <w:color w:val="000000"/>
                <w:sz w:val="26"/>
                <w:szCs w:val="26"/>
              </w:rPr>
            </w:pPr>
            <w:r>
              <w:rPr>
                <w:color w:val="000000"/>
                <w:sz w:val="26"/>
                <w:szCs w:val="26"/>
              </w:rPr>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1</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color w:val="000000"/>
                <w:sz w:val="26"/>
                <w:szCs w:val="26"/>
              </w:rPr>
              <w:t>Hồ sơ đất</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Hồ sơ</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20.000</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10.000</w:t>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50.000</w:t>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2</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color w:val="000000"/>
                <w:sz w:val="26"/>
                <w:szCs w:val="26"/>
              </w:rPr>
              <w:t>Hồ sơ Tài sản</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Hồ sơ</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20.000</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10.000</w:t>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50.000</w:t>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3</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color w:val="000000"/>
                <w:sz w:val="26"/>
                <w:szCs w:val="26"/>
              </w:rPr>
              <w:t xml:space="preserve">Hồ sơ đất và tài sản </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Hồ sơ</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20.000</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10.000</w:t>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50.000</w:t>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b/>
                <w:bCs/>
                <w:color w:val="000000"/>
                <w:sz w:val="26"/>
                <w:szCs w:val="26"/>
              </w:rPr>
              <w:t>III</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both"/>
              <w:rPr>
                <w:color w:val="000000"/>
                <w:sz w:val="26"/>
                <w:szCs w:val="26"/>
              </w:rPr>
            </w:pPr>
            <w:r>
              <w:rPr>
                <w:b/>
                <w:bCs/>
                <w:color w:val="000000"/>
                <w:sz w:val="26"/>
                <w:szCs w:val="26"/>
              </w:rPr>
              <w:t>Đăng ký biến động (bao gồm đăng ký biến động có cấp mới và không cấp mới Giấy chứng nhận)</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color w:val="000000"/>
                <w:sz w:val="26"/>
                <w:szCs w:val="26"/>
              </w:rPr>
            </w:pPr>
            <w:r>
              <w:rPr>
                <w:color w:val="000000"/>
                <w:sz w:val="26"/>
                <w:szCs w:val="26"/>
              </w:rPr>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120" w:after="120"/>
              <w:jc w:val="center"/>
              <w:rPr>
                <w:color w:val="000000"/>
                <w:sz w:val="26"/>
                <w:szCs w:val="26"/>
              </w:rPr>
            </w:pPr>
            <w:r>
              <w:rPr>
                <w:color w:val="000000"/>
                <w:sz w:val="26"/>
                <w:szCs w:val="26"/>
              </w:rPr>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napToGrid w:val="false"/>
              <w:spacing w:before="120" w:after="120"/>
              <w:jc w:val="center"/>
              <w:rPr>
                <w:color w:val="000000"/>
                <w:sz w:val="26"/>
                <w:szCs w:val="26"/>
              </w:rPr>
            </w:pPr>
            <w:r>
              <w:rPr>
                <w:color w:val="000000"/>
                <w:sz w:val="26"/>
                <w:szCs w:val="26"/>
              </w:rPr>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napToGrid w:val="false"/>
              <w:spacing w:before="120" w:after="120"/>
              <w:jc w:val="center"/>
              <w:rPr>
                <w:color w:val="000000"/>
                <w:sz w:val="26"/>
                <w:szCs w:val="26"/>
              </w:rPr>
            </w:pPr>
            <w:r>
              <w:rPr>
                <w:color w:val="000000"/>
                <w:sz w:val="26"/>
                <w:szCs w:val="26"/>
              </w:rPr>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1</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color w:val="000000"/>
                <w:sz w:val="26"/>
                <w:szCs w:val="26"/>
              </w:rPr>
              <w:t>Hồ sơ đất</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Hồ sơ</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30.000</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15.000</w:t>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50.000</w:t>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2</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color w:val="000000"/>
                <w:sz w:val="26"/>
                <w:szCs w:val="26"/>
              </w:rPr>
              <w:t>Hồ sơ Tài sản</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Hồ sơ</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30.000</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15.000</w:t>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50.000</w:t>
            </w:r>
          </w:p>
        </w:tc>
      </w:tr>
      <w:tr>
        <w:trPr>
          <w:trHeight w:val="23" w:hRule="atLeast"/>
        </w:trPr>
        <w:tc>
          <w:tcPr>
            <w:tcW w:w="57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3</w:t>
            </w:r>
          </w:p>
        </w:tc>
        <w:tc>
          <w:tcPr>
            <w:tcW w:w="38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rPr>
                <w:color w:val="000000"/>
                <w:sz w:val="26"/>
                <w:szCs w:val="26"/>
              </w:rPr>
            </w:pPr>
            <w:r>
              <w:rPr>
                <w:color w:val="000000"/>
                <w:sz w:val="26"/>
                <w:szCs w:val="26"/>
              </w:rPr>
              <w:t xml:space="preserve">Hồ sơ đất và tài sản </w:t>
            </w:r>
          </w:p>
        </w:tc>
        <w:tc>
          <w:tcPr>
            <w:tcW w:w="96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Hồ sơ</w:t>
            </w:r>
          </w:p>
        </w:tc>
        <w:tc>
          <w:tcPr>
            <w:tcW w:w="13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120" w:after="120"/>
              <w:jc w:val="center"/>
              <w:rPr>
                <w:color w:val="000000"/>
                <w:sz w:val="26"/>
                <w:szCs w:val="26"/>
              </w:rPr>
            </w:pPr>
            <w:r>
              <w:rPr>
                <w:color w:val="000000"/>
                <w:sz w:val="26"/>
                <w:szCs w:val="26"/>
              </w:rPr>
              <w:t>30.000</w:t>
            </w:r>
          </w:p>
        </w:tc>
        <w:tc>
          <w:tcPr>
            <w:tcW w:w="1224"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15.000</w:t>
            </w:r>
          </w:p>
        </w:tc>
        <w:tc>
          <w:tcPr>
            <w:tcW w:w="1239" w:type="dxa"/>
            <w:tcBorders>
              <w:top w:val="single" w:sz="4" w:space="0" w:color="000000"/>
              <w:left w:val="single" w:sz="4" w:space="0" w:color="000000"/>
              <w:bottom w:val="single" w:sz="4" w:space="0" w:color="000000"/>
              <w:right w:val="single" w:sz="4" w:space="0" w:color="000000"/>
            </w:tcBorders>
            <w:shd w:fill="FFFFFF" w:val="clear"/>
            <w:tcMar>
              <w:left w:w="0" w:type="dxa"/>
              <w:right w:w="0" w:type="dxa"/>
            </w:tcMar>
          </w:tcPr>
          <w:p>
            <w:pPr>
              <w:pStyle w:val="Normal"/>
              <w:widowControl w:val="false"/>
              <w:spacing w:before="120" w:after="120"/>
              <w:jc w:val="center"/>
              <w:rPr>
                <w:color w:val="000000"/>
                <w:sz w:val="26"/>
                <w:szCs w:val="26"/>
              </w:rPr>
            </w:pPr>
            <w:r>
              <w:rPr>
                <w:color w:val="000000"/>
                <w:sz w:val="26"/>
                <w:szCs w:val="26"/>
              </w:rPr>
              <w:t>50.000</w:t>
            </w:r>
          </w:p>
        </w:tc>
      </w:tr>
    </w:tbl>
    <w:p>
      <w:pPr>
        <w:pStyle w:val="Normal"/>
        <w:spacing w:lineRule="atLeast" w:line="360" w:before="120" w:after="120"/>
        <w:ind w:firstLine="567" w:right="0"/>
        <w:jc w:val="both"/>
        <w:rPr>
          <w:bCs/>
          <w:iCs/>
          <w:color w:val="000000"/>
          <w:spacing w:val="-4"/>
          <w:sz w:val="26"/>
          <w:szCs w:val="26"/>
          <w:shd w:fill="FFFFFF" w:val="clear"/>
        </w:rPr>
      </w:pPr>
      <w:r>
        <w:rPr>
          <w:b/>
          <w:bCs/>
          <w:iCs/>
          <w:color w:val="000000"/>
          <w:spacing w:val="-4"/>
          <w:sz w:val="26"/>
          <w:szCs w:val="26"/>
          <w:shd w:fill="FFFFFF" w:val="clear"/>
        </w:rPr>
        <w:t xml:space="preserve">II. Lệ phí áp dụng cho trường hợp nộp hồ sơ trực tuyến: </w:t>
      </w:r>
      <w:r>
        <w:rPr>
          <w:bCs/>
          <w:iCs/>
          <w:color w:val="000000"/>
          <w:spacing w:val="-4"/>
          <w:sz w:val="26"/>
          <w:szCs w:val="26"/>
          <w:shd w:fill="FFFFFF" w:val="clear"/>
        </w:rPr>
        <w:t>0 đồng (Không đồng)</w:t>
      </w:r>
    </w:p>
    <w:p>
      <w:pPr>
        <w:pStyle w:val="Normal"/>
        <w:spacing w:before="120" w:after="120"/>
        <w:ind w:firstLine="540" w:right="0"/>
        <w:jc w:val="right"/>
        <w:rPr>
          <w:bCs/>
          <w:i/>
          <w:iCs/>
          <w:color w:val="000000"/>
          <w:sz w:val="26"/>
          <w:szCs w:val="26"/>
          <w:shd w:fill="FFFFFF" w:val="clear"/>
        </w:rPr>
      </w:pPr>
      <w:r>
        <w:rPr>
          <w:bCs/>
          <w:i/>
          <w:iCs/>
          <w:color w:val="000000"/>
          <w:spacing w:val="-4"/>
          <w:sz w:val="26"/>
          <w:szCs w:val="26"/>
          <w:shd w:fill="FFFFFF" w:val="clear"/>
        </w:rPr>
      </w:r>
    </w:p>
    <w:sectPr>
      <w:headerReference w:type="default" r:id="rId2"/>
      <w:headerReference w:type="first" r:id="rId3"/>
      <w:footerReference w:type="default" r:id="rId4"/>
      <w:footerReference w:type="first" r:id="rId5"/>
      <w:type w:val="nextPage"/>
      <w:pgSz w:w="11906" w:h="16838"/>
      <w:pgMar w:left="1701" w:right="1134" w:gutter="0" w:header="567" w:top="1134" w:footer="340" w:bottom="567"/>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I-Times">
    <w:charset w:val="00"/>
    <w:family w:val="auto"/>
    <w:pitch w:val="variable"/>
  </w:font>
  <w:font w:name=".VnTime">
    <w:altName w:val="#9Slide03 Cousine"/>
    <w:charset w:val="00"/>
    <w:family w:val="swiss"/>
    <w:pitch w:val="variable"/>
  </w:font>
  <w:font w:name="Tahoma">
    <w:charset w:val="00"/>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lang w:val="en-US"/>
      </w:rPr>
    </w:pPr>
    <w:r>
      <w:rPr>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Pr>
        <w:sz w:val="26"/>
        <w:szCs w:val="26"/>
      </w:rPr>
      <w:t>4</w:t>
    </w:r>
    <w:r>
      <w:rPr>
        <w:sz w:val="26"/>
        <w:szCs w:val="26"/>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pStyle w:val="Heading3"/>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tabs>
        <w:tab w:val="clear" w:pos="720"/>
        <w:tab w:val="left" w:pos="5670" w:leader="none"/>
      </w:tabs>
      <w:outlineLvl w:val="0"/>
    </w:pPr>
    <w:rPr>
      <w:rFonts w:ascii="VNI-Times" w:hAnsi="VNI-Times" w:cs="VNI-Times"/>
      <w:b/>
      <w:sz w:val="26"/>
      <w:szCs w:val="20"/>
    </w:rPr>
  </w:style>
  <w:style w:type="paragraph" w:styleId="Heading3">
    <w:name w:val="heading 3"/>
    <w:basedOn w:val="Normal"/>
    <w:next w:val="Normal"/>
    <w:qFormat/>
    <w:pPr>
      <w:keepNext w:val="true"/>
      <w:numPr>
        <w:ilvl w:val="2"/>
        <w:numId w:val="1"/>
      </w:numPr>
      <w:tabs>
        <w:tab w:val="clear" w:pos="720"/>
        <w:tab w:val="left" w:pos="5670" w:leader="none"/>
      </w:tabs>
      <w:spacing w:before="0" w:after="120"/>
      <w:jc w:val="center"/>
      <w:outlineLvl w:val="2"/>
    </w:pPr>
    <w:rPr>
      <w:rFonts w:ascii="VNI-Times" w:hAnsi="VNI-Times" w:cs="VNI-Times"/>
      <w:b/>
      <w:sz w:val="28"/>
      <w:szCs w:val="20"/>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DefaultParagraphFont">
    <w:name w:val="Default Paragraph Font"/>
    <w:qFormat/>
    <w:rPr/>
  </w:style>
  <w:style w:type="character" w:styleId="PageNumber">
    <w:name w:val="page number"/>
    <w:basedOn w:val="DefaultParagraphFont"/>
    <w:rPr/>
  </w:style>
  <w:style w:type="character" w:styleId="BodyTextIndentChar">
    <w:name w:val="Body Text Indent Char"/>
    <w:qFormat/>
    <w:rPr>
      <w:rFonts w:ascii=".VnTime;#9Slide03 Cousine" w:hAnsi=".VnTime;#9Slide03 Cousine" w:cs=".VnTime;#9Slide03 Cousine"/>
      <w:sz w:val="28"/>
    </w:rPr>
  </w:style>
  <w:style w:type="character" w:styleId="SubtitleChar">
    <w:name w:val="Subtitle Char"/>
    <w:qFormat/>
    <w:rPr>
      <w:sz w:val="24"/>
      <w:szCs w:val="24"/>
    </w:rPr>
  </w:style>
  <w:style w:type="character" w:styleId="FooterChar">
    <w:name w:val="Footer Char"/>
    <w:qFormat/>
    <w:rPr>
      <w:rFonts w:ascii="VNI-Times" w:hAnsi="VNI-Times" w:cs="VNI-Times"/>
      <w:sz w:val="26"/>
    </w:rPr>
  </w:style>
  <w:style w:type="character" w:styleId="BalloonTextChar">
    <w:name w:val="Balloon Text Char"/>
    <w:qFormat/>
    <w:rPr>
      <w:rFonts w:ascii="Tahoma" w:hAnsi="Tahoma" w:cs="Tahoma"/>
      <w:sz w:val="16"/>
      <w:szCs w:val="16"/>
    </w:rPr>
  </w:style>
  <w:style w:type="character" w:styleId="BodyTextChar">
    <w:name w:val="Body Text Char"/>
    <w:qFormat/>
    <w:rPr>
      <w:rFonts w:ascii="VNI-Times" w:hAnsi="VNI-Times" w:cs="VNI-Times"/>
      <w:b/>
      <w:sz w:val="26"/>
    </w:rPr>
  </w:style>
  <w:style w:type="character" w:styleId="BodyTextFirstIndentChar">
    <w:name w:val="Body Text First Indent Char"/>
    <w:basedOn w:val="BodyTextChar"/>
    <w:qFormat/>
    <w:rPr/>
  </w:style>
  <w:style w:type="character" w:styleId="BodyText3Char">
    <w:name w:val="Body Text 3 Char"/>
    <w:qFormat/>
    <w:rPr>
      <w:sz w:val="16"/>
      <w:szCs w:val="16"/>
    </w:rPr>
  </w:style>
  <w:style w:type="character" w:styleId="apple-converted-space">
    <w:name w:val="apple-converted-space"/>
    <w:basedOn w:val="DefaultParagraphFont"/>
    <w:qFormat/>
    <w:rPr/>
  </w:style>
  <w:style w:type="character" w:styleId="HeaderChar">
    <w:name w:val="Header Char"/>
    <w:qFormat/>
    <w:rPr>
      <w:sz w:val="24"/>
      <w:szCs w:val="24"/>
    </w:rPr>
  </w:style>
  <w:style w:type="character" w:styleId="CommentTextChar">
    <w:name w:val="Comment Text Char"/>
    <w:qFormat/>
    <w:rPr>
      <w:rFonts w:ascii="Arial" w:hAnsi="Arial" w:cs="Arial"/>
    </w:rPr>
  </w:style>
  <w:style w:type="character" w:styleId="CommentReference">
    <w:name w:val="Comment Reference"/>
    <w:qFormat/>
    <w:rPr>
      <w:sz w:val="16"/>
      <w:szCs w:val="16"/>
    </w:rPr>
  </w:style>
  <w:style w:type="character" w:styleId="NormalWebChar">
    <w:name w:val="Normal (Web) Char"/>
    <w:qFormat/>
    <w:rPr>
      <w:sz w:val="24"/>
      <w:szCs w:val="24"/>
    </w:rPr>
  </w:style>
  <w:style w:type="character" w:styleId="fontstyle01">
    <w:name w:val="fontstyle01"/>
    <w:qFormat/>
    <w:rPr>
      <w:rFonts w:ascii="Times New Roman" w:hAnsi="Times New Roman" w:cs="Times New Roman"/>
      <w:b/>
      <w:bCs/>
      <w:color w:val="000000"/>
      <w:sz w:val="28"/>
      <w:szCs w:val="28"/>
    </w:rPr>
  </w:style>
  <w:style w:type="character" w:styleId="Strong">
    <w:name w:val="Strong"/>
    <w:qFormat/>
    <w:rPr>
      <w:b/>
      <w:bCs/>
    </w:rPr>
  </w:style>
  <w:style w:type="character" w:styleId="ListParagraphChar">
    <w:name w:val="List Paragraph Char"/>
    <w:qFormat/>
    <w:rPr>
      <w:sz w:val="24"/>
      <w:szCs w:val="24"/>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rFonts w:ascii="VNI-Times" w:hAnsi="VNI-Times" w:cs="VNI-Times"/>
      <w:b/>
      <w:sz w:val="26"/>
      <w:szCs w:val="20"/>
      <w:lang w:val="vi-VN"/>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tabs>
        <w:tab w:val="clear" w:pos="720"/>
        <w:tab w:val="center" w:pos="4320" w:leader="none"/>
        <w:tab w:val="right" w:pos="8640" w:leader="none"/>
      </w:tabs>
    </w:pPr>
    <w:rPr>
      <w:rFonts w:ascii="VNI-Times" w:hAnsi="VNI-Times" w:cs="VNI-Times"/>
      <w:sz w:val="26"/>
      <w:szCs w:val="20"/>
      <w:lang w:val="vi-VN"/>
    </w:rPr>
  </w:style>
  <w:style w:type="paragraph" w:styleId="Header">
    <w:name w:val="header"/>
    <w:basedOn w:val="Normal"/>
    <w:pPr>
      <w:tabs>
        <w:tab w:val="clear" w:pos="720"/>
        <w:tab w:val="center" w:pos="4320" w:leader="none"/>
        <w:tab w:val="right" w:pos="8640" w:leader="none"/>
      </w:tabs>
    </w:pPr>
    <w:rPr/>
  </w:style>
  <w:style w:type="paragraph" w:styleId="BodyTextIndent">
    <w:name w:val="Body Text Indent"/>
    <w:basedOn w:val="Normal"/>
    <w:pPr>
      <w:spacing w:before="0" w:after="360"/>
      <w:ind w:firstLine="709" w:left="0" w:right="0"/>
      <w:jc w:val="both"/>
    </w:pPr>
    <w:rPr>
      <w:rFonts w:ascii=".VnTime;#9Slide03 Cousine" w:hAnsi=".VnTime;#9Slide03 Cousine" w:cs=".VnTime;#9Slide03 Cousine"/>
      <w:sz w:val="28"/>
      <w:szCs w:val="20"/>
      <w:lang w:val="vi-VN"/>
    </w:rPr>
  </w:style>
  <w:style w:type="paragraph" w:styleId="NormalWeb">
    <w:name w:val="Normal (Web)"/>
    <w:basedOn w:val="Normal"/>
    <w:qFormat/>
    <w:pPr>
      <w:spacing w:before="280" w:after="280"/>
    </w:pPr>
    <w:rPr/>
  </w:style>
  <w:style w:type="paragraph" w:styleId="Subtitle">
    <w:name w:val="Subtitle"/>
    <w:basedOn w:val="Normal"/>
    <w:next w:val="Normal"/>
    <w:qFormat/>
    <w:pPr>
      <w:spacing w:before="0" w:after="60"/>
      <w:jc w:val="center"/>
      <w:outlineLvl w:val="1"/>
    </w:pPr>
    <w:rPr>
      <w:lang w:val="vi-VN"/>
    </w:rPr>
  </w:style>
  <w:style w:type="paragraph" w:styleId="BalloonText">
    <w:name w:val="Balloon Text"/>
    <w:basedOn w:val="Normal"/>
    <w:qFormat/>
    <w:pPr/>
    <w:rPr>
      <w:rFonts w:ascii="Tahoma" w:hAnsi="Tahoma" w:cs="Tahoma"/>
      <w:sz w:val="16"/>
      <w:szCs w:val="16"/>
      <w:lang w:val="vi-VN"/>
    </w:rPr>
  </w:style>
  <w:style w:type="paragraph" w:styleId="BodyTextFirstIndent">
    <w:name w:val="Body Text First Indent"/>
    <w:basedOn w:val="BodyText"/>
    <w:qFormat/>
    <w:pPr>
      <w:ind w:firstLine="210" w:left="0" w:right="0"/>
    </w:pPr>
    <w:rPr>
      <w:rFonts w:ascii="Times New Roman" w:hAnsi="Times New Roman" w:cs="Times New Roman"/>
      <w:b w:val="false"/>
      <w:sz w:val="24"/>
      <w:szCs w:val="24"/>
    </w:rPr>
  </w:style>
  <w:style w:type="paragraph" w:styleId="BodyText3">
    <w:name w:val="Body Text 3"/>
    <w:basedOn w:val="Normal"/>
    <w:qFormat/>
    <w:pPr>
      <w:spacing w:before="0" w:after="120"/>
    </w:pPr>
    <w:rPr>
      <w:sz w:val="16"/>
      <w:szCs w:val="16"/>
      <w:lang w:val="vi-VN"/>
    </w:rPr>
  </w:style>
  <w:style w:type="paragraph" w:styleId="DefaultParagraphFontParaCharCharCharCharChar">
    <w:name w:val="Default Paragraph Font Para Char Char Char Char Char"/>
    <w:qFormat/>
    <w:pPr>
      <w:widowControl/>
      <w:tabs>
        <w:tab w:val="clear" w:pos="720"/>
        <w:tab w:val="left" w:pos="1152" w:leader="none"/>
      </w:tabs>
      <w:bidi w:val="0"/>
      <w:spacing w:lineRule="auto" w:line="312" w:before="120" w:after="120"/>
    </w:pPr>
    <w:rPr>
      <w:rFonts w:ascii="Arial" w:hAnsi="Arial" w:eastAsia="Times New Roman" w:cs="Arial"/>
      <w:color w:val="auto"/>
      <w:sz w:val="26"/>
      <w:szCs w:val="26"/>
      <w:lang w:val="en-US" w:bidi="ar-SA" w:eastAsia="zh-CN"/>
    </w:rPr>
  </w:style>
  <w:style w:type="paragraph" w:styleId="CommentText">
    <w:name w:val="Comment Text"/>
    <w:basedOn w:val="Normal"/>
    <w:qFormat/>
    <w:pPr/>
    <w:rPr>
      <w:rFonts w:ascii="Arial" w:hAnsi="Arial" w:cs="Arial"/>
      <w:sz w:val="20"/>
      <w:szCs w:val="20"/>
    </w:rPr>
  </w:style>
  <w:style w:type="paragraph" w:styleId="ListParagraph">
    <w:name w:val="List Paragraph"/>
    <w:basedOn w:val="Normal"/>
    <w:qFormat/>
    <w:pPr>
      <w:spacing w:before="0" w:after="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104</TotalTime>
  <Application>LibreOffice/26.2.6.3$Windows_X86_64 LibreOffice_project/8221e31b3ac356a1623c672912a3d2b492f7e3d1</Application>
  <AppVersion>15.0000</AppVersion>
  <Pages>4</Pages>
  <Words>1662</Words>
  <Characters>5880</Characters>
  <CharactersWithSpaces>7445</CharactersWithSpaces>
  <Paragraphs>145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2026-10-19T00:24:00Z</dcterms:created>
  <dc:creator>Tuan</dc:creator>
  <dc:description/>
  <cp:keywords/>
  <dc:language>vi-VN</dc:language>
  <cp:lastModifiedBy>Hi</cp:lastModifiedBy>
  <cp:lastPrinted>2026-05-06T13:19:00Z</cp:lastPrinted>
  <dcterms:modified xsi:type="dcterms:W3CDTF">2026-10-21T09:24:00Z</dcterms:modified>
  <cp:revision>29</cp:revision>
  <dc:subject/>
  <dc:title>HỘI ĐỒNG NHÂN DÂN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em soat copy">
    <vt:lpwstr>1_x0000__x0000_</vt:lpwstr>
  </property>
</Properties>
</file>