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E8689">
      <w:pPr>
        <w:spacing w:before="300" w:after="360"/>
        <w:jc w:val="center"/>
        <w:rPr>
          <w:rFonts w:cs="Times New Roman"/>
          <w:sz w:val="28"/>
          <w:szCs w:val="28"/>
        </w:rPr>
      </w:pPr>
      <w:bookmarkStart w:id="0" w:name="_GoBack"/>
      <w:bookmarkEnd w:id="0"/>
      <w:r>
        <w:rPr>
          <w:rFonts w:cs="Times New Roman"/>
          <w:b/>
          <w:sz w:val="28"/>
          <w:szCs w:val="28"/>
        </w:rPr>
        <w:t>TÀI LIỆU TUYÊN TRUYỀN</w:t>
      </w:r>
    </w:p>
    <w:p w14:paraId="3D6BFEAD">
      <w:pPr>
        <w:jc w:val="center"/>
        <w:rPr>
          <w:rFonts w:cs="Times New Roman"/>
          <w:sz w:val="28"/>
          <w:szCs w:val="28"/>
        </w:rPr>
      </w:pPr>
      <w:r>
        <w:rPr>
          <w:rFonts w:cs="Times New Roman"/>
          <w:b/>
          <w:sz w:val="28"/>
          <w:szCs w:val="28"/>
        </w:rPr>
        <w:t>NGHĨA VỤ CUNG CẤP THÔNG TIN PHỤC VỤ MỤC ĐÍCH TRAO ĐỔI THÔNG TIN VỀ THUẾ VÀ XỬ PHẠT VI PHẠM HÀNH CHÍNH</w:t>
      </w:r>
    </w:p>
    <w:p w14:paraId="73160292">
      <w:pPr>
        <w:spacing w:after="80"/>
        <w:jc w:val="center"/>
        <w:rPr>
          <w:rFonts w:cs="Times New Roman"/>
          <w:sz w:val="28"/>
          <w:szCs w:val="28"/>
        </w:rPr>
      </w:pPr>
      <w:r>
        <w:rPr>
          <w:rFonts w:cs="Times New Roman"/>
          <w:i/>
          <w:sz w:val="28"/>
          <w:szCs w:val="28"/>
        </w:rPr>
        <w:t>(Theo Điều 63 Nghị định số 252/2026/NĐ-CP và Nghị định số 291/2026/NĐ-CP)</w:t>
      </w:r>
    </w:p>
    <w:p w14:paraId="23BE4889">
      <w:pPr>
        <w:ind w:firstLine="720"/>
        <w:rPr>
          <w:rFonts w:cs="Times New Roman"/>
          <w:sz w:val="28"/>
          <w:szCs w:val="28"/>
        </w:rPr>
      </w:pPr>
    </w:p>
    <w:p w14:paraId="653350A2">
      <w:pPr>
        <w:ind w:firstLine="720"/>
        <w:rPr>
          <w:rFonts w:cs="Times New Roman"/>
          <w:sz w:val="28"/>
          <w:szCs w:val="28"/>
        </w:rPr>
      </w:pPr>
      <w:r>
        <w:rPr>
          <w:b/>
          <w:bCs/>
          <w:sz w:val="28"/>
          <w:szCs w:val="28"/>
        </w:rPr>
        <w:t>LỜI GIỚI THIỆU</w:t>
      </w:r>
    </w:p>
    <w:p w14:paraId="7CA949DD">
      <w:pPr>
        <w:spacing w:before="120" w:after="120" w:line="240" w:lineRule="auto"/>
        <w:ind w:firstLine="720"/>
        <w:jc w:val="both"/>
        <w:rPr>
          <w:sz w:val="28"/>
          <w:szCs w:val="28"/>
        </w:rPr>
      </w:pPr>
      <w:r>
        <w:rPr>
          <w:sz w:val="28"/>
          <w:szCs w:val="28"/>
        </w:rPr>
        <w:t>Minh bạch và trao đổi thông tin vì mục đích thuế là một trong những nội dung quan trọng của quản lý thuế hiện đại, góp phần phòng, chống gian lận, trốn thuế, nâng cao hiệu quả quản lý thuế và thực hiện các cam kết quốc tế của Việt Nam trong lĩnh vực thuế.</w:t>
      </w:r>
    </w:p>
    <w:p w14:paraId="05839C86">
      <w:pPr>
        <w:spacing w:before="120" w:after="120" w:line="240" w:lineRule="auto"/>
        <w:ind w:firstLine="720"/>
        <w:jc w:val="both"/>
        <w:rPr>
          <w:sz w:val="28"/>
          <w:szCs w:val="28"/>
        </w:rPr>
      </w:pPr>
      <w:r>
        <w:rPr>
          <w:sz w:val="28"/>
          <w:szCs w:val="28"/>
        </w:rPr>
        <w:t xml:space="preserve">Để triển khai Luật Quản lý thuế số </w:t>
      </w:r>
      <w:r>
        <w:rPr>
          <w:b/>
          <w:bCs/>
          <w:sz w:val="28"/>
          <w:szCs w:val="28"/>
        </w:rPr>
        <w:t>108/2025/QH15</w:t>
      </w:r>
      <w:r>
        <w:rPr>
          <w:sz w:val="28"/>
          <w:szCs w:val="28"/>
        </w:rPr>
        <w:t xml:space="preserve">, Chính phủ đã ban hành </w:t>
      </w:r>
      <w:r>
        <w:rPr>
          <w:b/>
          <w:bCs/>
          <w:sz w:val="28"/>
          <w:szCs w:val="28"/>
        </w:rPr>
        <w:t>Nghị định số 252/2026/NĐ-CP</w:t>
      </w:r>
      <w:r>
        <w:rPr>
          <w:sz w:val="28"/>
          <w:szCs w:val="28"/>
        </w:rPr>
        <w:t xml:space="preserve"> quy định về cung cấp, thu thập, xác minh, quản lý, sử dụng, trao đổi và bảo mật thông tin phục vụ mục đích trao đổi thông tin về thuế; đồng thời ban hành </w:t>
      </w:r>
      <w:r>
        <w:rPr>
          <w:b/>
          <w:bCs/>
          <w:sz w:val="28"/>
          <w:szCs w:val="28"/>
        </w:rPr>
        <w:t>Nghị định số 291/2026/NĐ-CP</w:t>
      </w:r>
      <w:r>
        <w:rPr>
          <w:sz w:val="28"/>
          <w:szCs w:val="28"/>
        </w:rPr>
        <w:t xml:space="preserve"> quy định xử phạt vi phạm hành chính đối với hành vi vi phạm nghĩa vụ cung cấp thông tin nhằm bảo đảm tính nghiêm minh và hiệu lực thực thi của pháp luật.</w:t>
      </w:r>
    </w:p>
    <w:p w14:paraId="25187043">
      <w:pPr>
        <w:spacing w:before="120" w:after="120" w:line="240" w:lineRule="auto"/>
        <w:ind w:firstLine="720"/>
        <w:jc w:val="both"/>
        <w:rPr>
          <w:sz w:val="28"/>
          <w:szCs w:val="28"/>
        </w:rPr>
      </w:pPr>
      <w:r>
        <w:rPr>
          <w:sz w:val="28"/>
          <w:szCs w:val="28"/>
        </w:rPr>
        <w:t>Tài liệu này được biên soạn nhằm giúp người nộp thuế, cơ quan, tổ chức và cá nhân có liên quan hiểu rõ các quy định về nghĩa vụ cung cấp thông tin, trách nhiệm kê khai, cập nhật, lưu giữ và phối hợp cung cấp thông tin; đồng thời nắm được các hành vi vi phạm, chế tài xử phạt và biện pháp khắc phục hậu quả để chủ động thực hiện đúng quy định của pháp luật.</w:t>
      </w:r>
    </w:p>
    <w:p w14:paraId="03C3F3DF">
      <w:pPr>
        <w:spacing w:before="120" w:after="120" w:line="240" w:lineRule="auto"/>
        <w:ind w:firstLine="720"/>
        <w:jc w:val="both"/>
        <w:rPr>
          <w:rFonts w:eastAsiaTheme="majorEastAsia"/>
          <w:b/>
          <w:bCs/>
          <w:color w:val="000000"/>
          <w:sz w:val="28"/>
          <w:szCs w:val="28"/>
        </w:rPr>
      </w:pPr>
      <w:r>
        <w:rPr>
          <w:rFonts w:eastAsiaTheme="majorEastAsia"/>
          <w:b/>
          <w:bCs/>
          <w:color w:val="000000"/>
          <w:sz w:val="28"/>
          <w:szCs w:val="28"/>
        </w:rPr>
        <w:t>PHẦN I. MINH BẠCH THÔNG TIN THUẾ VÀ NGHĨA VỤ CUNG CẤP THÔNG TIN PHỤC VỤ MỤC ĐÍCH TRAO ĐỔI THÔNG TIN VỀ THUẾ</w:t>
      </w:r>
    </w:p>
    <w:p w14:paraId="0F6F518F">
      <w:pPr>
        <w:spacing w:before="120" w:after="120" w:line="240" w:lineRule="auto"/>
        <w:ind w:firstLine="720"/>
        <w:jc w:val="both"/>
        <w:rPr>
          <w:rFonts w:eastAsiaTheme="majorEastAsia"/>
          <w:b/>
          <w:bCs/>
          <w:color w:val="000000"/>
          <w:sz w:val="28"/>
          <w:szCs w:val="28"/>
        </w:rPr>
      </w:pPr>
      <w:r>
        <w:rPr>
          <w:rFonts w:eastAsiaTheme="majorEastAsia"/>
          <w:b/>
          <w:bCs/>
          <w:color w:val="000000"/>
          <w:sz w:val="28"/>
          <w:szCs w:val="28"/>
        </w:rPr>
        <w:t>1. Minh bạch thông tin thuế và trao đổi thông tin vì mục đích thuế</w:t>
      </w:r>
    </w:p>
    <w:p w14:paraId="3C98A07C">
      <w:pPr>
        <w:spacing w:before="120" w:after="120" w:line="240" w:lineRule="auto"/>
        <w:ind w:firstLine="720"/>
        <w:jc w:val="both"/>
        <w:rPr>
          <w:rFonts w:eastAsiaTheme="majorEastAsia"/>
          <w:color w:val="000000"/>
          <w:sz w:val="28"/>
          <w:szCs w:val="28"/>
        </w:rPr>
      </w:pPr>
      <w:r>
        <w:rPr>
          <w:rFonts w:eastAsiaTheme="majorEastAsia"/>
          <w:color w:val="000000"/>
          <w:sz w:val="28"/>
          <w:szCs w:val="28"/>
        </w:rPr>
        <w:t>Minh bạch và trao đổi thông tin vì mục đích thuế là một trong những yêu cầu quan trọng của quản lý thuế hiện đại, góp phần phòng, chống gian lận, trốn thuế, nâng cao hiệu quả quản lý thuế và thực hiện các điều ước quốc tế về thuế mà Việt Nam là thành viên.</w:t>
      </w:r>
    </w:p>
    <w:p w14:paraId="46517E1A">
      <w:pPr>
        <w:spacing w:before="120" w:after="120" w:line="240" w:lineRule="auto"/>
        <w:ind w:firstLine="720"/>
        <w:jc w:val="both"/>
        <w:rPr>
          <w:rFonts w:eastAsiaTheme="majorEastAsia"/>
          <w:color w:val="000000"/>
          <w:sz w:val="28"/>
          <w:szCs w:val="28"/>
        </w:rPr>
      </w:pPr>
      <w:r>
        <w:rPr>
          <w:rFonts w:eastAsiaTheme="majorEastAsia"/>
          <w:color w:val="000000"/>
          <w:sz w:val="28"/>
          <w:szCs w:val="28"/>
        </w:rPr>
        <w:t>Để triển khai Luật Quản lý thuế số 108/2025/QH15, Chính phủ đã ban hành Nghị định số 252/2026/NĐ-CP trong đó Điều 63 Nghị định này quy định về cung cấp, thu thập, xác minh, quản lý, sử dụng, trao đổi và bảo mật thông tin phục vụ mục đích trao đổi thông tin về thuế. Theo đó, người nộp thuế, cơ quan, tổ chức và cá nhân có liên quan có trách nhiệm cung cấp, quản lý và sử dụng thông tin theo đúng quy định của pháp luật; đồng thời thông tin của người nộp thuế được quản lý, sử dụng và bảo mật theo quy định.</w:t>
      </w:r>
    </w:p>
    <w:p w14:paraId="10B501A2">
      <w:pPr>
        <w:spacing w:before="120" w:after="120" w:line="240" w:lineRule="auto"/>
        <w:ind w:firstLine="720"/>
        <w:jc w:val="both"/>
        <w:rPr>
          <w:rFonts w:eastAsiaTheme="majorEastAsia"/>
          <w:color w:val="000000"/>
          <w:sz w:val="28"/>
          <w:szCs w:val="28"/>
        </w:rPr>
      </w:pPr>
      <w:r>
        <w:rPr>
          <w:rFonts w:eastAsiaTheme="majorEastAsia"/>
          <w:color w:val="000000"/>
          <w:sz w:val="28"/>
          <w:szCs w:val="28"/>
        </w:rPr>
        <w:t xml:space="preserve">Việc thực hiện đầy đủ nghĩa vụ cung cấp thông tin không làm phát sinh nghĩa vụ thuế mới, mà góp phần nâng cao tính minh bạch, tạo môi trường đầu tư, kinh doanh công bằng, bình đẳng và tăng cường hiệu quả quản lý thuế. </w:t>
      </w:r>
    </w:p>
    <w:p w14:paraId="73B9309C">
      <w:pPr>
        <w:spacing w:before="120" w:after="120" w:line="240" w:lineRule="auto"/>
        <w:ind w:firstLine="720"/>
        <w:jc w:val="both"/>
        <w:rPr>
          <w:rFonts w:eastAsiaTheme="majorEastAsia"/>
          <w:b/>
          <w:bCs/>
          <w:color w:val="000000"/>
          <w:sz w:val="28"/>
          <w:szCs w:val="28"/>
        </w:rPr>
      </w:pPr>
      <w:r>
        <w:rPr>
          <w:rFonts w:eastAsiaTheme="majorEastAsia"/>
          <w:b/>
          <w:bCs/>
          <w:color w:val="000000"/>
          <w:sz w:val="28"/>
          <w:szCs w:val="28"/>
        </w:rPr>
        <w:t>2. Người nộp thuế cần biết</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7893"/>
      </w:tblGrid>
      <w:tr w14:paraId="285A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0D70884D">
            <w:pPr>
              <w:spacing w:after="0" w:line="240" w:lineRule="auto"/>
              <w:jc w:val="both"/>
              <w:rPr>
                <w:rFonts w:eastAsiaTheme="majorEastAsia"/>
                <w:b/>
                <w:bCs/>
                <w:color w:val="000000"/>
                <w:sz w:val="28"/>
                <w:szCs w:val="28"/>
              </w:rPr>
            </w:pPr>
            <w:r>
              <w:rPr>
                <w:rFonts w:eastAsiaTheme="majorEastAsia"/>
                <w:b/>
                <w:bCs/>
                <w:color w:val="000000"/>
                <w:sz w:val="28"/>
                <w:szCs w:val="28"/>
              </w:rPr>
              <w:t>Nội dung</w:t>
            </w:r>
          </w:p>
        </w:tc>
        <w:tc>
          <w:tcPr>
            <w:tcW w:w="7893" w:type="dxa"/>
            <w:vAlign w:val="center"/>
          </w:tcPr>
          <w:p w14:paraId="3129B6E8">
            <w:pPr>
              <w:spacing w:after="0" w:line="240" w:lineRule="auto"/>
              <w:ind w:firstLine="720"/>
              <w:jc w:val="both"/>
              <w:rPr>
                <w:rFonts w:eastAsiaTheme="majorEastAsia"/>
                <w:b/>
                <w:bCs/>
                <w:color w:val="000000"/>
                <w:sz w:val="28"/>
                <w:szCs w:val="28"/>
              </w:rPr>
            </w:pPr>
            <w:r>
              <w:rPr>
                <w:rFonts w:eastAsiaTheme="majorEastAsia"/>
                <w:b/>
                <w:bCs/>
                <w:color w:val="000000"/>
                <w:sz w:val="28"/>
                <w:szCs w:val="28"/>
              </w:rPr>
              <w:t>Người nộp thuế cần biết</w:t>
            </w:r>
          </w:p>
        </w:tc>
      </w:tr>
      <w:tr w14:paraId="3D29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3C90BBB1">
            <w:pPr>
              <w:spacing w:after="0" w:line="240" w:lineRule="auto"/>
              <w:jc w:val="both"/>
              <w:rPr>
                <w:rFonts w:eastAsiaTheme="majorEastAsia"/>
                <w:color w:val="000000"/>
                <w:sz w:val="28"/>
                <w:szCs w:val="28"/>
              </w:rPr>
            </w:pPr>
            <w:r>
              <w:rPr>
                <w:rFonts w:eastAsiaTheme="majorEastAsia"/>
                <w:color w:val="000000"/>
                <w:sz w:val="28"/>
                <w:szCs w:val="28"/>
              </w:rPr>
              <w:t>Mục đích cung cấp thông tin</w:t>
            </w:r>
          </w:p>
        </w:tc>
        <w:tc>
          <w:tcPr>
            <w:tcW w:w="7893" w:type="dxa"/>
            <w:vAlign w:val="center"/>
          </w:tcPr>
          <w:p w14:paraId="177D4E18">
            <w:pPr>
              <w:spacing w:after="0" w:line="240" w:lineRule="auto"/>
              <w:jc w:val="both"/>
              <w:rPr>
                <w:rFonts w:eastAsiaTheme="majorEastAsia"/>
                <w:color w:val="000000"/>
                <w:sz w:val="28"/>
                <w:szCs w:val="28"/>
              </w:rPr>
            </w:pPr>
            <w:r>
              <w:rPr>
                <w:rFonts w:eastAsiaTheme="majorEastAsia"/>
                <w:color w:val="000000"/>
                <w:sz w:val="28"/>
                <w:szCs w:val="28"/>
              </w:rPr>
              <w:t>Việc cung cấp thông tin nhằm phục vụ công tác quản lý thuế và trao đổi thông tin về thuế theo quy định của pháp luật Việt Nam và các điều ước quốc tế về thuế mà Việt Nam là thành viên.</w:t>
            </w:r>
          </w:p>
        </w:tc>
      </w:tr>
      <w:tr w14:paraId="322D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02A779AD">
            <w:pPr>
              <w:spacing w:after="0" w:line="240" w:lineRule="auto"/>
              <w:jc w:val="both"/>
              <w:rPr>
                <w:rFonts w:eastAsiaTheme="majorEastAsia"/>
                <w:color w:val="000000"/>
                <w:sz w:val="28"/>
                <w:szCs w:val="28"/>
              </w:rPr>
            </w:pPr>
            <w:r>
              <w:rPr>
                <w:rFonts w:eastAsiaTheme="majorEastAsia"/>
                <w:color w:val="000000"/>
                <w:sz w:val="28"/>
                <w:szCs w:val="28"/>
              </w:rPr>
              <w:t>Nguyên tắc thực hiện</w:t>
            </w:r>
          </w:p>
        </w:tc>
        <w:tc>
          <w:tcPr>
            <w:tcW w:w="7893" w:type="dxa"/>
            <w:vAlign w:val="center"/>
          </w:tcPr>
          <w:p w14:paraId="6DF38476">
            <w:pPr>
              <w:spacing w:after="0" w:line="240" w:lineRule="auto"/>
              <w:jc w:val="both"/>
              <w:rPr>
                <w:rFonts w:eastAsiaTheme="majorEastAsia"/>
                <w:color w:val="000000"/>
                <w:sz w:val="28"/>
                <w:szCs w:val="28"/>
              </w:rPr>
            </w:pPr>
            <w:r>
              <w:rPr>
                <w:rFonts w:eastAsiaTheme="majorEastAsia"/>
                <w:color w:val="000000"/>
                <w:sz w:val="28"/>
                <w:szCs w:val="28"/>
              </w:rPr>
              <w:t>Thông tin phải được cung cấp đầy đủ, chính xác, trung thực, đúng thời hạn và đúng yêu cầu của cơ quan có thẩm quyền.</w:t>
            </w:r>
          </w:p>
        </w:tc>
      </w:tr>
      <w:tr w14:paraId="6C39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1B5D17A6">
            <w:pPr>
              <w:spacing w:after="0" w:line="240" w:lineRule="auto"/>
              <w:jc w:val="both"/>
              <w:rPr>
                <w:rFonts w:eastAsiaTheme="majorEastAsia"/>
                <w:color w:val="000000"/>
                <w:sz w:val="28"/>
                <w:szCs w:val="28"/>
              </w:rPr>
            </w:pPr>
            <w:r>
              <w:rPr>
                <w:rFonts w:eastAsiaTheme="majorEastAsia"/>
                <w:color w:val="000000"/>
                <w:sz w:val="28"/>
                <w:szCs w:val="28"/>
              </w:rPr>
              <w:t>Quản lý, sử dụng thông tin</w:t>
            </w:r>
          </w:p>
        </w:tc>
        <w:tc>
          <w:tcPr>
            <w:tcW w:w="7893" w:type="dxa"/>
            <w:vAlign w:val="center"/>
          </w:tcPr>
          <w:p w14:paraId="5D60F8E5">
            <w:pPr>
              <w:spacing w:after="0" w:line="240" w:lineRule="auto"/>
              <w:jc w:val="both"/>
              <w:rPr>
                <w:rFonts w:eastAsiaTheme="majorEastAsia"/>
                <w:color w:val="000000"/>
                <w:sz w:val="28"/>
                <w:szCs w:val="28"/>
              </w:rPr>
            </w:pPr>
            <w:r>
              <w:rPr>
                <w:rFonts w:eastAsiaTheme="majorEastAsia"/>
                <w:color w:val="000000"/>
                <w:sz w:val="28"/>
                <w:szCs w:val="28"/>
              </w:rPr>
              <w:t>Thông tin của người nộp thuế được quản lý, sử dụng đúng mục đích, đúng thẩm quyền và được bảo mật theo quy định của pháp luật.</w:t>
            </w:r>
          </w:p>
        </w:tc>
      </w:tr>
      <w:tr w14:paraId="7B1F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79F5F3F4">
            <w:pPr>
              <w:spacing w:after="0" w:line="240" w:lineRule="auto"/>
              <w:jc w:val="both"/>
              <w:rPr>
                <w:rFonts w:eastAsiaTheme="majorEastAsia"/>
                <w:color w:val="000000"/>
                <w:sz w:val="28"/>
                <w:szCs w:val="28"/>
              </w:rPr>
            </w:pPr>
            <w:r>
              <w:rPr>
                <w:rFonts w:eastAsiaTheme="majorEastAsia"/>
                <w:color w:val="000000"/>
                <w:sz w:val="28"/>
                <w:szCs w:val="28"/>
              </w:rPr>
              <w:t>Trách nhiệm của người nộp thuế</w:t>
            </w:r>
          </w:p>
        </w:tc>
        <w:tc>
          <w:tcPr>
            <w:tcW w:w="7893" w:type="dxa"/>
            <w:vAlign w:val="center"/>
          </w:tcPr>
          <w:p w14:paraId="1AC51317">
            <w:pPr>
              <w:spacing w:after="0" w:line="240" w:lineRule="auto"/>
              <w:jc w:val="both"/>
              <w:rPr>
                <w:rFonts w:eastAsiaTheme="majorEastAsia"/>
                <w:color w:val="000000"/>
                <w:sz w:val="28"/>
                <w:szCs w:val="28"/>
              </w:rPr>
            </w:pPr>
            <w:r>
              <w:rPr>
                <w:rFonts w:eastAsiaTheme="majorEastAsia"/>
                <w:color w:val="000000"/>
                <w:sz w:val="28"/>
                <w:szCs w:val="28"/>
              </w:rPr>
              <w:t>- Chi nhánh và văn phòng đại diện của công ty nước ngoài hoạt động tại Việt Nam có nghĩa vụ kê khai, cập nhật cho cơ quan thuế thông tin về chủ sở hữu pháp lý và chủ sở hữu hưởng lợi của công ty mẹ ở nước ngoài.</w:t>
            </w:r>
          </w:p>
          <w:p w14:paraId="29787CE9">
            <w:pPr>
              <w:spacing w:after="0" w:line="240" w:lineRule="auto"/>
              <w:jc w:val="both"/>
              <w:rPr>
                <w:rFonts w:eastAsiaTheme="majorEastAsia"/>
                <w:color w:val="000000"/>
                <w:sz w:val="28"/>
                <w:szCs w:val="28"/>
              </w:rPr>
            </w:pPr>
            <w:r>
              <w:rPr>
                <w:rFonts w:eastAsiaTheme="majorEastAsia"/>
                <w:color w:val="000000"/>
                <w:sz w:val="28"/>
                <w:szCs w:val="28"/>
              </w:rPr>
              <w:t>- Chi nhánh, văn phòng đại diện có trách nhiệm lưu trữ hồ sơ, tài liệu liên quan đến chủ sở hữu pháp lý và chủ sở hữu hưởng lợi của công ty mẹ ở nước ngoài trong thời gian hoạt động, đảm bảo cung cấp kịp thời theo yêu cầu của cơ quan thuế.</w:t>
            </w:r>
          </w:p>
          <w:p w14:paraId="7E47336A">
            <w:pPr>
              <w:spacing w:after="0" w:line="240" w:lineRule="auto"/>
              <w:jc w:val="both"/>
              <w:rPr>
                <w:rFonts w:eastAsiaTheme="majorEastAsia"/>
                <w:color w:val="000000"/>
                <w:sz w:val="28"/>
                <w:szCs w:val="28"/>
              </w:rPr>
            </w:pPr>
            <w:r>
              <w:rPr>
                <w:rFonts w:eastAsiaTheme="majorEastAsia"/>
                <w:color w:val="000000"/>
                <w:sz w:val="28"/>
                <w:szCs w:val="28"/>
              </w:rPr>
              <w:t xml:space="preserve">- Người đại diện theo pháp luật của NNT có trách nhiệm lưu trữ tài liệu kế toán tại Việt Nam trong trường hợp tạm ngừng kinh doanh, giải thể, phá sản đồng thời phải thông báo bằng văn bản về nơi lưu trữ tài liệu kế toán cho cơ quan thuế. </w:t>
            </w:r>
          </w:p>
          <w:p w14:paraId="6B9CD837">
            <w:pPr>
              <w:spacing w:after="0" w:line="240" w:lineRule="auto"/>
              <w:jc w:val="both"/>
              <w:rPr>
                <w:rFonts w:eastAsiaTheme="majorEastAsia"/>
                <w:color w:val="000000"/>
                <w:sz w:val="28"/>
                <w:szCs w:val="28"/>
              </w:rPr>
            </w:pPr>
            <w:r>
              <w:rPr>
                <w:rFonts w:eastAsiaTheme="majorEastAsia"/>
                <w:color w:val="000000"/>
                <w:sz w:val="28"/>
                <w:szCs w:val="28"/>
              </w:rPr>
              <w:t>- Người nộp thuế , tổ chức, cá nhân khác có liên quan có trách nhiệm chủ động rà soát, cập nhật và cung cấp thông tin theo quy định; phối hợp với cơ quan thuế trong quá trình xác minh, làm rõ thông tin và chịu trách nhiệm trước pháp luật về tính đầy đủ, chính xác, trung thực của thông tin đã cung cấp.</w:t>
            </w:r>
          </w:p>
        </w:tc>
      </w:tr>
      <w:tr w14:paraId="779E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14:paraId="71C1BBEA">
            <w:pPr>
              <w:spacing w:after="0" w:line="240" w:lineRule="auto"/>
              <w:jc w:val="both"/>
              <w:rPr>
                <w:rFonts w:eastAsiaTheme="majorEastAsia"/>
                <w:color w:val="000000"/>
                <w:sz w:val="28"/>
                <w:szCs w:val="28"/>
              </w:rPr>
            </w:pPr>
            <w:r>
              <w:rPr>
                <w:rFonts w:eastAsiaTheme="majorEastAsia"/>
                <w:color w:val="000000"/>
                <w:sz w:val="28"/>
                <w:szCs w:val="28"/>
              </w:rPr>
              <w:t>Chế tài áp dụng đối với người nộp thuế</w:t>
            </w:r>
          </w:p>
        </w:tc>
        <w:tc>
          <w:tcPr>
            <w:tcW w:w="7893" w:type="dxa"/>
            <w:vAlign w:val="center"/>
          </w:tcPr>
          <w:p w14:paraId="0FCD9FB7">
            <w:pPr>
              <w:spacing w:after="0" w:line="240" w:lineRule="auto"/>
              <w:jc w:val="both"/>
              <w:rPr>
                <w:rFonts w:eastAsiaTheme="majorEastAsia"/>
                <w:color w:val="000000"/>
                <w:sz w:val="28"/>
                <w:szCs w:val="28"/>
              </w:rPr>
            </w:pPr>
            <w:r>
              <w:rPr>
                <w:rFonts w:eastAsiaTheme="majorEastAsia"/>
                <w:color w:val="000000"/>
                <w:sz w:val="28"/>
                <w:szCs w:val="28"/>
              </w:rPr>
              <w:t>- Trường hợp cơ quan, tổ chức, cá nhân không thực hiện cung cấp thông tin hoặc cung cấp thông tin không đầy đủ, không đảm bảo tính chính xác theo yêu cầu của cơ quan thuế thì bị xử phạt vi phạm hành chính về quản lý thuế theo quy định.</w:t>
            </w:r>
          </w:p>
          <w:p w14:paraId="3052E816">
            <w:pPr>
              <w:spacing w:after="0" w:line="240" w:lineRule="auto"/>
              <w:jc w:val="both"/>
              <w:rPr>
                <w:rFonts w:eastAsiaTheme="majorEastAsia"/>
                <w:color w:val="000000"/>
                <w:sz w:val="28"/>
                <w:szCs w:val="28"/>
              </w:rPr>
            </w:pPr>
            <w:r>
              <w:rPr>
                <w:rFonts w:eastAsiaTheme="majorEastAsia"/>
                <w:color w:val="000000"/>
                <w:sz w:val="28"/>
                <w:szCs w:val="28"/>
              </w:rPr>
              <w:t>- Trường hợp cơ quan, tổ chức, cá nhân không thực hiện cung cấp thông tin theo yêu cầu, không thi hành quyết định xử phạt vi phạm hành chính thì cơ quan thuế áp dụng các biện pháp cưỡng chế theo quy định của pháp luật để bảo đảm thực hiện nghĩa vụ cung cấp thông tin.</w:t>
            </w:r>
          </w:p>
        </w:tc>
      </w:tr>
    </w:tbl>
    <w:p w14:paraId="71907E4E">
      <w:pPr>
        <w:spacing w:before="120" w:after="120" w:line="240" w:lineRule="auto"/>
        <w:jc w:val="both"/>
        <w:rPr>
          <w:rFonts w:eastAsiaTheme="majorEastAsia"/>
          <w:b/>
          <w:bCs/>
          <w:color w:val="000000"/>
          <w:sz w:val="28"/>
          <w:szCs w:val="28"/>
        </w:rPr>
      </w:pPr>
    </w:p>
    <w:p w14:paraId="7C08CEFB">
      <w:pPr>
        <w:spacing w:before="120" w:after="120" w:line="240" w:lineRule="auto"/>
        <w:jc w:val="both"/>
        <w:rPr>
          <w:rFonts w:eastAsiaTheme="majorEastAsia"/>
          <w:b/>
          <w:bCs/>
          <w:color w:val="000000"/>
          <w:sz w:val="28"/>
          <w:szCs w:val="28"/>
        </w:rPr>
      </w:pPr>
    </w:p>
    <w:p w14:paraId="4F4A6275">
      <w:pPr>
        <w:spacing w:before="120" w:after="120" w:line="240" w:lineRule="auto"/>
        <w:ind w:firstLine="720"/>
        <w:jc w:val="both"/>
        <w:rPr>
          <w:rFonts w:eastAsiaTheme="majorEastAsia"/>
          <w:b/>
          <w:bCs/>
          <w:color w:val="000000"/>
          <w:sz w:val="28"/>
          <w:szCs w:val="28"/>
        </w:rPr>
      </w:pPr>
      <w:r>
        <w:rPr>
          <w:rFonts w:eastAsiaTheme="majorEastAsia"/>
          <w:b/>
          <w:bCs/>
          <w:color w:val="000000"/>
          <w:sz w:val="28"/>
          <w:szCs w:val="28"/>
        </w:rPr>
        <w:t>3. Khuyến nghị của cơ quan thuế</w:t>
      </w:r>
    </w:p>
    <w:p w14:paraId="39C5C540">
      <w:pPr>
        <w:spacing w:before="120" w:after="120" w:line="240" w:lineRule="auto"/>
        <w:ind w:firstLine="720"/>
        <w:jc w:val="both"/>
        <w:rPr>
          <w:rFonts w:eastAsiaTheme="majorEastAsia"/>
          <w:color w:val="000000"/>
          <w:sz w:val="28"/>
          <w:szCs w:val="28"/>
        </w:rPr>
      </w:pPr>
      <w:r>
        <w:rPr>
          <w:rFonts w:eastAsiaTheme="majorEastAsia"/>
          <w:color w:val="000000"/>
          <w:sz w:val="28"/>
          <w:szCs w:val="28"/>
        </w:rPr>
        <w:t>Để thực hiện đúng quy định của pháp luật và nâng cao mức độ tuân thủ, cơ quan thuế khuyến nghị người nộp thuế:</w:t>
      </w:r>
    </w:p>
    <w:p w14:paraId="0F321CE5">
      <w:pPr>
        <w:spacing w:before="120" w:after="120" w:line="240" w:lineRule="auto"/>
        <w:ind w:firstLine="720"/>
        <w:jc w:val="both"/>
        <w:rPr>
          <w:rFonts w:eastAsiaTheme="majorEastAsia"/>
          <w:color w:val="000000"/>
          <w:sz w:val="28"/>
          <w:szCs w:val="28"/>
        </w:rPr>
      </w:pPr>
      <w:r>
        <w:rPr>
          <w:rFonts w:eastAsiaTheme="majorEastAsia"/>
          <w:color w:val="000000"/>
          <w:sz w:val="28"/>
          <w:szCs w:val="28"/>
        </w:rPr>
        <w:t xml:space="preserve">- Thường xuyên rà soát, cập nhật thông tin đăng ký thuế, thông tin về chủ sở hữu pháp lý, chủ sở hữu hưởng lợi và các thông tin liên quan trong quá trình hoạt động. </w:t>
      </w:r>
    </w:p>
    <w:p w14:paraId="5F36AF3D">
      <w:pPr>
        <w:spacing w:before="120" w:after="120" w:line="240" w:lineRule="auto"/>
        <w:ind w:firstLine="720"/>
        <w:jc w:val="both"/>
        <w:rPr>
          <w:rFonts w:eastAsiaTheme="majorEastAsia"/>
          <w:color w:val="000000"/>
          <w:sz w:val="28"/>
          <w:szCs w:val="28"/>
        </w:rPr>
      </w:pPr>
      <w:r>
        <w:rPr>
          <w:rFonts w:eastAsiaTheme="majorEastAsia"/>
          <w:color w:val="000000"/>
          <w:sz w:val="28"/>
          <w:szCs w:val="28"/>
        </w:rPr>
        <w:t xml:space="preserve">- Chuẩn bị, quản lý và lưu giữ đầy đủ hồ sơ, tài liệu, hồ sơ kế toán theo quy định để sẵn sàng cung cấp khi cơ quan có thẩm quyền yêu cầu. </w:t>
      </w:r>
    </w:p>
    <w:p w14:paraId="1E2BD233">
      <w:pPr>
        <w:spacing w:before="120" w:after="120" w:line="240" w:lineRule="auto"/>
        <w:ind w:firstLine="720"/>
        <w:jc w:val="both"/>
        <w:rPr>
          <w:rFonts w:eastAsiaTheme="majorEastAsia"/>
          <w:color w:val="000000"/>
          <w:sz w:val="28"/>
          <w:szCs w:val="28"/>
        </w:rPr>
      </w:pPr>
      <w:r>
        <w:rPr>
          <w:rFonts w:eastAsiaTheme="majorEastAsia"/>
          <w:color w:val="000000"/>
          <w:sz w:val="28"/>
          <w:szCs w:val="28"/>
        </w:rPr>
        <w:t xml:space="preserve">- Cung cấp thông tin đầy đủ, chính xác, trung thực và đúng thời hạn; chủ động phối hợp, giải trình và bổ sung thông tin khi có yêu cầu của cơ quan thuế. </w:t>
      </w:r>
    </w:p>
    <w:p w14:paraId="2844AAFD">
      <w:pPr>
        <w:spacing w:before="120" w:after="120" w:line="240" w:lineRule="auto"/>
        <w:ind w:firstLine="720"/>
        <w:jc w:val="both"/>
        <w:rPr>
          <w:rFonts w:eastAsiaTheme="majorEastAsia"/>
          <w:color w:val="000000"/>
          <w:sz w:val="28"/>
          <w:szCs w:val="28"/>
        </w:rPr>
      </w:pPr>
      <w:r>
        <w:rPr>
          <w:rFonts w:eastAsiaTheme="majorEastAsia"/>
          <w:color w:val="000000"/>
          <w:sz w:val="28"/>
          <w:szCs w:val="28"/>
        </w:rPr>
        <w:t xml:space="preserve">- Chủ động liên hệ cơ quan thuế khi phát sinh khó khăn, vướng mắc để được hướng dẫn thực hiện đúng quy định. </w:t>
      </w:r>
    </w:p>
    <w:p w14:paraId="77590C87">
      <w:pPr>
        <w:spacing w:before="120" w:after="120" w:line="240" w:lineRule="auto"/>
        <w:ind w:firstLine="720"/>
        <w:jc w:val="both"/>
        <w:rPr>
          <w:rFonts w:eastAsiaTheme="majorEastAsia"/>
          <w:b/>
          <w:bCs/>
          <w:color w:val="000000"/>
          <w:sz w:val="28"/>
          <w:szCs w:val="28"/>
        </w:rPr>
      </w:pPr>
      <w:r>
        <w:rPr>
          <w:rFonts w:eastAsiaTheme="majorEastAsia"/>
          <w:b/>
          <w:bCs/>
          <w:color w:val="000000"/>
          <w:sz w:val="28"/>
          <w:szCs w:val="28"/>
        </w:rPr>
        <w:t xml:space="preserve">Thông điệp: </w:t>
      </w:r>
      <w:r>
        <w:rPr>
          <w:rFonts w:eastAsiaTheme="majorEastAsia"/>
          <w:color w:val="000000"/>
          <w:sz w:val="28"/>
          <w:szCs w:val="28"/>
        </w:rPr>
        <w:t>Minh bạch thông tin, cung cấp thông tin đầy đủ, chính xác, trung thực và đúng thời hạn không chỉ là trách nhiệm của người nộp thuế theo quy định của pháp luật mà còn góp phần xây dựng môi trường đầu tư, kinh doanh minh bạch, công bằng và nâng cao hiệu quả quản lý thuế.</w:t>
      </w:r>
    </w:p>
    <w:p w14:paraId="28145196">
      <w:pPr>
        <w:spacing w:before="120" w:after="120" w:line="240" w:lineRule="auto"/>
        <w:ind w:firstLine="720"/>
        <w:jc w:val="both"/>
        <w:rPr>
          <w:rFonts w:cs="Times New Roman"/>
          <w:b/>
          <w:bCs/>
          <w:sz w:val="28"/>
          <w:szCs w:val="28"/>
        </w:rPr>
      </w:pPr>
      <w:r>
        <w:rPr>
          <w:rFonts w:cs="Times New Roman"/>
          <w:b/>
          <w:bCs/>
          <w:sz w:val="28"/>
          <w:szCs w:val="28"/>
        </w:rPr>
        <w:t>Phần II:</w:t>
      </w:r>
      <w:r>
        <w:rPr>
          <w:rFonts w:cs="Times New Roman"/>
          <w:sz w:val="28"/>
          <w:szCs w:val="28"/>
        </w:rPr>
        <w:t xml:space="preserve"> </w:t>
      </w:r>
      <w:r>
        <w:rPr>
          <w:rFonts w:cs="Times New Roman"/>
          <w:b/>
          <w:bCs/>
          <w:sz w:val="28"/>
          <w:szCs w:val="28"/>
        </w:rPr>
        <w:t>HÀNH VI VI PHẠM, MỨC XỬ PHẠT, BIỆN PHÁP KHẮC PHỤC HẬU QUẢ VÀ NGUYÊN TẮC XỬ PHẠT THEO NGHỊ ĐỊNH SỐ 291/2026/NĐ-CP</w:t>
      </w:r>
    </w:p>
    <w:p w14:paraId="7AF23D7B">
      <w:pPr>
        <w:spacing w:before="120" w:after="120" w:line="240" w:lineRule="auto"/>
        <w:ind w:firstLine="720"/>
        <w:jc w:val="both"/>
        <w:rPr>
          <w:rFonts w:cs="Times New Roman"/>
          <w:b/>
          <w:bCs/>
          <w:sz w:val="28"/>
          <w:szCs w:val="28"/>
        </w:rPr>
      </w:pPr>
      <w:r>
        <w:rPr>
          <w:rFonts w:cs="Times New Roman"/>
          <w:b/>
          <w:bCs/>
          <w:sz w:val="28"/>
          <w:szCs w:val="28"/>
        </w:rPr>
        <w:t>1. Vì sao Chính phủ ban hành Nghị định số 291/2026/NĐ-CP?</w:t>
      </w:r>
    </w:p>
    <w:p w14:paraId="3A2D8B13">
      <w:pPr>
        <w:spacing w:before="120" w:after="120" w:line="240" w:lineRule="auto"/>
        <w:ind w:firstLine="720"/>
        <w:jc w:val="both"/>
        <w:rPr>
          <w:rFonts w:cs="Times New Roman"/>
          <w:sz w:val="28"/>
          <w:szCs w:val="28"/>
        </w:rPr>
      </w:pPr>
      <w:r>
        <w:rPr>
          <w:rFonts w:cs="Times New Roman"/>
          <w:sz w:val="28"/>
          <w:szCs w:val="28"/>
        </w:rPr>
        <w:t>Ngày 21/7/2026, Chính phủ ban hành Nghị định số 291/2026/NĐ-CP nhằm hoàn thiện quy định xử phạt vi phạm hành chính đối với hành vi vi phạm nghĩa vụ cung cấp thông tin phục vụ mục đích trao đổi thông tin về thuế; bảo đảm đồng bộ với Luật Quản lý thuế năm 2025, Nghị định số 252/2026/NĐ-CP; đáp ứng yêu cầu thực hiện các điều ước quốc tế, thỏa thuận quốc tế về thuế mà Việt Nam là thành viên hoặc là bên ký kết; đồng thời tăng cường tính minh bạch, nâng cao hiệu quả quản lý thuế và ý thức tuân thủ của người nộp thuế, tổ chức và cá nhân có liên quan.</w:t>
      </w:r>
    </w:p>
    <w:p w14:paraId="003D2741">
      <w:pPr>
        <w:spacing w:before="120" w:after="120" w:line="240" w:lineRule="auto"/>
        <w:ind w:firstLine="720"/>
        <w:jc w:val="both"/>
        <w:rPr>
          <w:rFonts w:cs="Times New Roman"/>
          <w:b/>
          <w:bCs/>
          <w:sz w:val="28"/>
          <w:szCs w:val="28"/>
        </w:rPr>
      </w:pPr>
      <w:r>
        <w:rPr>
          <w:rFonts w:cs="Times New Roman"/>
          <w:b/>
          <w:bCs/>
          <w:sz w:val="28"/>
          <w:szCs w:val="28"/>
        </w:rPr>
        <w:t>2. Những điểm mới người nộp thuế và tổ chức có liên quan cần biết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4410"/>
        <w:gridCol w:w="2520"/>
      </w:tblGrid>
      <w:tr w14:paraId="3A3F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shd w:val="clear" w:color="auto" w:fill="auto"/>
            <w:vAlign w:val="center"/>
          </w:tcPr>
          <w:p w14:paraId="4517A9CD">
            <w:pPr>
              <w:spacing w:after="0" w:line="240" w:lineRule="auto"/>
              <w:jc w:val="center"/>
              <w:rPr>
                <w:rFonts w:cs="Times New Roman"/>
                <w:b/>
                <w:bCs/>
                <w:sz w:val="28"/>
                <w:szCs w:val="28"/>
              </w:rPr>
            </w:pPr>
            <w:r>
              <w:rPr>
                <w:rFonts w:cs="Times New Roman"/>
                <w:b/>
                <w:bCs/>
                <w:sz w:val="28"/>
                <w:szCs w:val="28"/>
              </w:rPr>
              <w:t>Nội dung sửa đổi, bổ sung</w:t>
            </w:r>
          </w:p>
        </w:tc>
        <w:tc>
          <w:tcPr>
            <w:tcW w:w="4410" w:type="dxa"/>
            <w:shd w:val="clear" w:color="auto" w:fill="auto"/>
            <w:vAlign w:val="center"/>
          </w:tcPr>
          <w:p w14:paraId="37D9F85D">
            <w:pPr>
              <w:spacing w:after="0" w:line="240" w:lineRule="auto"/>
              <w:ind w:firstLine="720"/>
              <w:jc w:val="center"/>
              <w:rPr>
                <w:rFonts w:cs="Times New Roman"/>
                <w:b/>
                <w:bCs/>
                <w:sz w:val="28"/>
                <w:szCs w:val="28"/>
              </w:rPr>
            </w:pPr>
            <w:r>
              <w:rPr>
                <w:rFonts w:cs="Times New Roman"/>
                <w:b/>
                <w:bCs/>
                <w:sz w:val="28"/>
                <w:szCs w:val="28"/>
              </w:rPr>
              <w:t>Quy định mới</w:t>
            </w:r>
          </w:p>
        </w:tc>
        <w:tc>
          <w:tcPr>
            <w:tcW w:w="2520" w:type="dxa"/>
            <w:shd w:val="clear" w:color="auto" w:fill="auto"/>
            <w:vAlign w:val="center"/>
          </w:tcPr>
          <w:p w14:paraId="4019D64F">
            <w:pPr>
              <w:spacing w:after="0" w:line="240" w:lineRule="auto"/>
              <w:jc w:val="center"/>
              <w:rPr>
                <w:rFonts w:cs="Times New Roman"/>
                <w:b/>
                <w:bCs/>
                <w:sz w:val="28"/>
                <w:szCs w:val="28"/>
              </w:rPr>
            </w:pPr>
            <w:r>
              <w:rPr>
                <w:rFonts w:cs="Times New Roman"/>
                <w:b/>
                <w:bCs/>
                <w:sz w:val="28"/>
                <w:szCs w:val="28"/>
              </w:rPr>
              <w:t>Người nộp thuế và tổ chức có liên quan cần lưu ý</w:t>
            </w:r>
          </w:p>
        </w:tc>
      </w:tr>
      <w:tr w14:paraId="7D71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shd w:val="clear" w:color="auto" w:fill="auto"/>
            <w:vAlign w:val="center"/>
          </w:tcPr>
          <w:p w14:paraId="30915E03">
            <w:pPr>
              <w:spacing w:after="0" w:line="240" w:lineRule="auto"/>
              <w:jc w:val="both"/>
              <w:rPr>
                <w:rFonts w:cs="Times New Roman"/>
                <w:sz w:val="28"/>
                <w:szCs w:val="28"/>
              </w:rPr>
            </w:pPr>
            <w:r>
              <w:rPr>
                <w:rFonts w:cs="Times New Roman"/>
                <w:sz w:val="28"/>
                <w:szCs w:val="28"/>
              </w:rPr>
              <w:t>1. Bổ sung Điều 19a quy định xử phạt hành vi vi phạm nghĩa vụ cung cấp thông tin phục vụ mục đích trao đổi thông tin về thuế</w:t>
            </w:r>
          </w:p>
        </w:tc>
        <w:tc>
          <w:tcPr>
            <w:tcW w:w="4410" w:type="dxa"/>
            <w:shd w:val="clear" w:color="auto" w:fill="auto"/>
            <w:vAlign w:val="center"/>
          </w:tcPr>
          <w:p w14:paraId="53D0551B">
            <w:pPr>
              <w:spacing w:after="0" w:line="240" w:lineRule="auto"/>
              <w:ind w:firstLine="720"/>
              <w:jc w:val="both"/>
              <w:rPr>
                <w:rFonts w:cs="Times New Roman"/>
                <w:b/>
                <w:bCs/>
                <w:sz w:val="28"/>
                <w:szCs w:val="28"/>
              </w:rPr>
            </w:pPr>
            <w:r>
              <w:rPr>
                <w:rFonts w:cs="Times New Roman"/>
                <w:sz w:val="28"/>
                <w:szCs w:val="28"/>
              </w:rPr>
              <w:t>Bổ sung quy định xử phạt đối với người nộp thuế và tổ chức, cá nhân có liên quan vi phạm nghĩa vụ cung cấp thông tin theo quy định của pháp luật Việt Nam, điều ước quốc tế và thỏa thuận quốc tế về thuế.</w:t>
            </w:r>
          </w:p>
        </w:tc>
        <w:tc>
          <w:tcPr>
            <w:tcW w:w="2520" w:type="dxa"/>
            <w:shd w:val="clear" w:color="auto" w:fill="auto"/>
            <w:vAlign w:val="center"/>
          </w:tcPr>
          <w:p w14:paraId="7A5DD99A">
            <w:pPr>
              <w:spacing w:after="0" w:line="240" w:lineRule="auto"/>
              <w:jc w:val="both"/>
              <w:rPr>
                <w:rFonts w:cs="Times New Roman"/>
                <w:b/>
                <w:bCs/>
                <w:sz w:val="28"/>
                <w:szCs w:val="28"/>
              </w:rPr>
            </w:pPr>
            <w:r>
              <w:rPr>
                <w:rFonts w:cs="Times New Roman"/>
                <w:sz w:val="28"/>
                <w:szCs w:val="28"/>
              </w:rPr>
              <w:t>Thực hiện đầy đủ nghĩa vụ cung cấp thông tin theo yêu cầu của cơ quan thuế; bảo đảm thông tin được cung cấp đúng đối tượng, đúng thời hạn và đúng theo yêu cầu.</w:t>
            </w:r>
          </w:p>
        </w:tc>
      </w:tr>
      <w:tr w14:paraId="2D85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shd w:val="clear" w:color="auto" w:fill="auto"/>
            <w:vAlign w:val="center"/>
          </w:tcPr>
          <w:p w14:paraId="148EB9A0">
            <w:pPr>
              <w:spacing w:after="0" w:line="240" w:lineRule="auto"/>
              <w:jc w:val="both"/>
              <w:rPr>
                <w:rFonts w:cs="Times New Roman"/>
                <w:sz w:val="28"/>
                <w:szCs w:val="28"/>
              </w:rPr>
            </w:pPr>
            <w:r>
              <w:rPr>
                <w:rFonts w:cs="Times New Roman"/>
                <w:sz w:val="28"/>
                <w:szCs w:val="28"/>
              </w:rPr>
              <w:t>2. Quy định rõ các mức xử phạt</w:t>
            </w:r>
          </w:p>
        </w:tc>
        <w:tc>
          <w:tcPr>
            <w:tcW w:w="4410" w:type="dxa"/>
            <w:shd w:val="clear" w:color="auto" w:fill="auto"/>
            <w:vAlign w:val="center"/>
          </w:tcPr>
          <w:p w14:paraId="4273F017">
            <w:pPr>
              <w:spacing w:after="0" w:line="240" w:lineRule="auto"/>
              <w:jc w:val="both"/>
              <w:rPr>
                <w:rFonts w:cs="Times New Roman"/>
                <w:b/>
                <w:bCs/>
                <w:sz w:val="28"/>
                <w:szCs w:val="28"/>
              </w:rPr>
            </w:pPr>
            <w:r>
              <w:rPr>
                <w:rFonts w:cs="Times New Roman"/>
                <w:sz w:val="28"/>
                <w:szCs w:val="28"/>
              </w:rPr>
              <w:t xml:space="preserve">- Phạt từ </w:t>
            </w:r>
            <w:r>
              <w:rPr>
                <w:rFonts w:cs="Times New Roman"/>
                <w:b/>
                <w:bCs/>
                <w:sz w:val="28"/>
                <w:szCs w:val="28"/>
              </w:rPr>
              <w:t>10 triệu đồng đến 30 triệu đồng</w:t>
            </w:r>
            <w:r>
              <w:rPr>
                <w:rFonts w:cs="Times New Roman"/>
                <w:sz w:val="28"/>
                <w:szCs w:val="28"/>
              </w:rPr>
              <w:t xml:space="preserve"> đối với hành vi cung cấp thông tin quá thời hạn từ 05 ngày trở lên.- Phạt từ </w:t>
            </w:r>
            <w:r>
              <w:rPr>
                <w:rFonts w:cs="Times New Roman"/>
                <w:b/>
                <w:bCs/>
                <w:sz w:val="28"/>
                <w:szCs w:val="28"/>
              </w:rPr>
              <w:t>30 triệu đồng đến 50 triệu đồng</w:t>
            </w:r>
            <w:r>
              <w:rPr>
                <w:rFonts w:cs="Times New Roman"/>
                <w:sz w:val="28"/>
                <w:szCs w:val="28"/>
              </w:rPr>
              <w:t xml:space="preserve"> đối với hành vi cung cấp thông tin không đầy đủ hoặc không chính xác.- Phạt từ </w:t>
            </w:r>
            <w:r>
              <w:rPr>
                <w:rFonts w:cs="Times New Roman"/>
                <w:b/>
                <w:bCs/>
                <w:sz w:val="28"/>
                <w:szCs w:val="28"/>
              </w:rPr>
              <w:t>50 triệu đồng đến 100 triệu đồng</w:t>
            </w:r>
            <w:r>
              <w:rPr>
                <w:rFonts w:cs="Times New Roman"/>
                <w:sz w:val="28"/>
                <w:szCs w:val="28"/>
              </w:rPr>
              <w:t xml:space="preserve"> đối với hành vi không cung cấp thông tin sau 15 ngày kể từ ngày hết thời hạn cung cấp thông tin hoặc kể từ ngày hết thời hạn gia hạn cung cấp thông tin hoặc thông đồng, bao che nhằm ngăn cản cơ quan thuế thu thập, xác minh thông tin.</w:t>
            </w:r>
          </w:p>
        </w:tc>
        <w:tc>
          <w:tcPr>
            <w:tcW w:w="2520" w:type="dxa"/>
            <w:shd w:val="clear" w:color="auto" w:fill="auto"/>
            <w:vAlign w:val="center"/>
          </w:tcPr>
          <w:p w14:paraId="74CE6856">
            <w:pPr>
              <w:spacing w:after="0" w:line="240" w:lineRule="auto"/>
              <w:jc w:val="both"/>
              <w:rPr>
                <w:rFonts w:cs="Times New Roman"/>
                <w:b/>
                <w:bCs/>
                <w:sz w:val="28"/>
                <w:szCs w:val="28"/>
              </w:rPr>
            </w:pPr>
            <w:r>
              <w:rPr>
                <w:rFonts w:cs="Times New Roman"/>
                <w:sz w:val="28"/>
                <w:szCs w:val="28"/>
              </w:rPr>
              <w:t>Chủ động lưu trữ, rà soát, chuẩn bị và cung cấp đầy đủ, chính xác, đúng thời hạn các thông tin theo yêu cầu của cơ quan thuế để tránh bị xử phạt.</w:t>
            </w:r>
          </w:p>
        </w:tc>
      </w:tr>
      <w:tr w14:paraId="5505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shd w:val="clear" w:color="auto" w:fill="auto"/>
            <w:vAlign w:val="center"/>
          </w:tcPr>
          <w:p w14:paraId="7A0F5D2D">
            <w:pPr>
              <w:spacing w:after="0" w:line="240" w:lineRule="auto"/>
              <w:jc w:val="both"/>
              <w:rPr>
                <w:rFonts w:cs="Times New Roman"/>
                <w:sz w:val="28"/>
                <w:szCs w:val="28"/>
              </w:rPr>
            </w:pPr>
            <w:r>
              <w:rPr>
                <w:rFonts w:cs="Times New Roman"/>
                <w:sz w:val="28"/>
                <w:szCs w:val="28"/>
              </w:rPr>
              <w:t>3. Bổ sung biện pháp khắc phục hậu quả</w:t>
            </w:r>
          </w:p>
        </w:tc>
        <w:tc>
          <w:tcPr>
            <w:tcW w:w="4410" w:type="dxa"/>
            <w:shd w:val="clear" w:color="auto" w:fill="auto"/>
            <w:vAlign w:val="center"/>
          </w:tcPr>
          <w:p w14:paraId="3A7692B7">
            <w:pPr>
              <w:spacing w:after="0" w:line="240" w:lineRule="auto"/>
              <w:jc w:val="both"/>
              <w:rPr>
                <w:rFonts w:cs="Times New Roman"/>
                <w:b/>
                <w:bCs/>
                <w:sz w:val="28"/>
                <w:szCs w:val="28"/>
              </w:rPr>
            </w:pPr>
            <w:r>
              <w:rPr>
                <w:rFonts w:cs="Times New Roman"/>
                <w:sz w:val="28"/>
                <w:szCs w:val="28"/>
              </w:rPr>
              <w:t>Ngoài việc bị xử phạt bằng tiền, tổ chức, cá nhân vi phạm còn buộc phải cung cấp đầy đủ, chính xác thông tin theo yêu cầu của cơ quan thuế.</w:t>
            </w:r>
          </w:p>
        </w:tc>
        <w:tc>
          <w:tcPr>
            <w:tcW w:w="2520" w:type="dxa"/>
            <w:shd w:val="clear" w:color="auto" w:fill="auto"/>
            <w:vAlign w:val="center"/>
          </w:tcPr>
          <w:p w14:paraId="71E74A9F">
            <w:pPr>
              <w:spacing w:after="0" w:line="240" w:lineRule="auto"/>
              <w:jc w:val="both"/>
              <w:rPr>
                <w:rFonts w:cs="Times New Roman"/>
                <w:sz w:val="28"/>
                <w:szCs w:val="28"/>
              </w:rPr>
            </w:pPr>
            <w:r>
              <w:rPr>
                <w:rFonts w:cs="Times New Roman"/>
                <w:sz w:val="28"/>
                <w:szCs w:val="28"/>
              </w:rPr>
              <w:t>Việc nộp phạt không thay thế nghĩa vụ cung cấp thông tin. Sau khi bị xử phạt, tổ chức, cá nhân vẫn phải thực hiện đầy đủ nghĩa vụ theo yêu cầu của cơ quan thuế.</w:t>
            </w:r>
          </w:p>
          <w:p w14:paraId="5126B54A">
            <w:pPr>
              <w:spacing w:after="0" w:line="240" w:lineRule="auto"/>
              <w:jc w:val="both"/>
              <w:rPr>
                <w:rFonts w:cs="Times New Roman"/>
                <w:sz w:val="28"/>
                <w:szCs w:val="28"/>
              </w:rPr>
            </w:pPr>
            <w:r>
              <w:rPr>
                <w:rFonts w:cs="Times New Roman"/>
                <w:sz w:val="28"/>
                <w:szCs w:val="28"/>
              </w:rPr>
              <w:t xml:space="preserve">Trường hợp tổ chức, cá nhân không thực hiện quyết định xử phạt vi phạm hành chính (bao gồm cả nghĩa vụ nộp tiền phạt và các biện pháp khắc phục hậu quả) thì sẽ bị áp dụng các biện pháp cưỡng chế theo quy định pháp luật để bảo đảm thực hiện nghĩa vụ cung cấp thông tin. </w:t>
            </w:r>
          </w:p>
        </w:tc>
      </w:tr>
      <w:tr w14:paraId="07A5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shd w:val="clear" w:color="auto" w:fill="auto"/>
            <w:vAlign w:val="center"/>
          </w:tcPr>
          <w:p w14:paraId="5765CD88">
            <w:pPr>
              <w:spacing w:after="0" w:line="240" w:lineRule="auto"/>
              <w:jc w:val="both"/>
              <w:rPr>
                <w:rFonts w:cs="Times New Roman"/>
                <w:sz w:val="28"/>
                <w:szCs w:val="28"/>
              </w:rPr>
            </w:pPr>
            <w:r>
              <w:rPr>
                <w:rFonts w:cs="Times New Roman"/>
                <w:sz w:val="28"/>
                <w:szCs w:val="28"/>
              </w:rPr>
              <w:t>4. Sửa đổi nguyên tắc xử phạt</w:t>
            </w:r>
          </w:p>
        </w:tc>
        <w:tc>
          <w:tcPr>
            <w:tcW w:w="4410" w:type="dxa"/>
            <w:shd w:val="clear" w:color="auto" w:fill="auto"/>
            <w:vAlign w:val="center"/>
          </w:tcPr>
          <w:p w14:paraId="778AC361">
            <w:pPr>
              <w:spacing w:after="0" w:line="240" w:lineRule="auto"/>
              <w:jc w:val="both"/>
              <w:rPr>
                <w:rFonts w:cs="Times New Roman"/>
                <w:sz w:val="28"/>
                <w:szCs w:val="28"/>
              </w:rPr>
            </w:pPr>
            <w:r>
              <w:rPr>
                <w:rFonts w:cs="Times New Roman"/>
                <w:sz w:val="28"/>
                <w:szCs w:val="28"/>
              </w:rPr>
              <w:t xml:space="preserve">Bãi bỏ nguyên tắc </w:t>
            </w:r>
            <w:r>
              <w:rPr>
                <w:rFonts w:cs="Times New Roman"/>
                <w:i/>
                <w:iCs/>
                <w:sz w:val="28"/>
                <w:szCs w:val="28"/>
              </w:rPr>
              <w:t>“hành vi vi phạm về sử dụng hóa đơn không hợp pháp, sử dụng không hợp pháp hóa đơn thuộc trường hợp bị xử phạt theo Điều 16, Điều 17 Nghị định số 125/2020/NĐ-CP thì không bị xử phạt theo Điều 28 Nghị định số 125/2020/NĐ-CP”</w:t>
            </w:r>
            <w:r>
              <w:rPr>
                <w:rFonts w:cs="Times New Roman"/>
                <w:sz w:val="28"/>
                <w:szCs w:val="28"/>
              </w:rPr>
              <w:t xml:space="preserve"> do quy định </w:t>
            </w:r>
            <w:r>
              <w:rPr>
                <w:rFonts w:cs="Times New Roman"/>
                <w:i/>
                <w:iCs/>
                <w:sz w:val="28"/>
                <w:szCs w:val="28"/>
              </w:rPr>
              <w:t>“vi phạm hành chính về sử dụng hóa đơn không hợp pháp, sử dụng không hợp pháp hóa đơn hoặc sử dụng hóa đơn không đúng quy định dẫn đến thiếu thuế, trốn thuế thì không xử phạt vi phạm hành chính về hóa đơn mà bị xử phạt vi phạm hành chính về quản lý thuế”</w:t>
            </w:r>
            <w:r>
              <w:rPr>
                <w:rFonts w:cs="Times New Roman"/>
                <w:sz w:val="28"/>
                <w:szCs w:val="28"/>
              </w:rPr>
              <w:t xml:space="preserve"> tại khoản 2 Điều 136 Luật Quản lý thuế năm 2019 đã được bãi bỏ theo Luật Quản lý thuế năm 2025.</w:t>
            </w:r>
          </w:p>
          <w:p w14:paraId="21764C70">
            <w:pPr>
              <w:spacing w:after="0" w:line="240" w:lineRule="auto"/>
              <w:jc w:val="both"/>
              <w:rPr>
                <w:rFonts w:cs="Times New Roman"/>
                <w:sz w:val="28"/>
                <w:szCs w:val="28"/>
              </w:rPr>
            </w:pPr>
            <w:r>
              <w:rPr>
                <w:rFonts w:cs="Times New Roman"/>
                <w:sz w:val="28"/>
                <w:szCs w:val="28"/>
              </w:rPr>
              <w:t>Bổ sung nguyên tắc: hành vi vi phạm thuộc trường hợp xử phạt theo Điều 19a thì không bị xử phạt theo Điều 14, Điều 15 và Điều 19 Nghị định số 125/2020/NĐ-CP.</w:t>
            </w:r>
          </w:p>
        </w:tc>
        <w:tc>
          <w:tcPr>
            <w:tcW w:w="2520" w:type="dxa"/>
            <w:shd w:val="clear" w:color="auto" w:fill="auto"/>
            <w:vAlign w:val="center"/>
          </w:tcPr>
          <w:p w14:paraId="525F2340">
            <w:pPr>
              <w:spacing w:after="0" w:line="240" w:lineRule="auto"/>
              <w:jc w:val="both"/>
              <w:rPr>
                <w:rFonts w:cs="Times New Roman"/>
                <w:sz w:val="28"/>
                <w:szCs w:val="28"/>
              </w:rPr>
            </w:pPr>
            <w:r>
              <w:rPr>
                <w:rFonts w:cs="Times New Roman"/>
                <w:sz w:val="28"/>
                <w:szCs w:val="28"/>
              </w:rPr>
              <w:t>Bãi bỏ nguyên tắc liên quan đến hành vi vi phạm về sử dụng hóa đơn không hợp pháp, sử dụng không hợp pháp hóa đơn để phù hợp Luật Quản lý thuế năm 2025.</w:t>
            </w:r>
          </w:p>
          <w:p w14:paraId="26D841CB">
            <w:pPr>
              <w:spacing w:after="0" w:line="240" w:lineRule="auto"/>
              <w:ind w:firstLine="720"/>
              <w:jc w:val="both"/>
              <w:rPr>
                <w:rFonts w:cs="Times New Roman"/>
                <w:sz w:val="28"/>
                <w:szCs w:val="28"/>
              </w:rPr>
            </w:pPr>
            <w:r>
              <w:rPr>
                <w:rFonts w:cs="Times New Roman"/>
                <w:sz w:val="28"/>
                <w:szCs w:val="28"/>
              </w:rPr>
              <w:t xml:space="preserve"> </w:t>
            </w:r>
          </w:p>
          <w:p w14:paraId="5160BFAB">
            <w:pPr>
              <w:spacing w:after="0" w:line="240" w:lineRule="auto"/>
              <w:jc w:val="both"/>
              <w:rPr>
                <w:rFonts w:cs="Times New Roman"/>
                <w:sz w:val="28"/>
                <w:szCs w:val="28"/>
              </w:rPr>
            </w:pPr>
            <w:r>
              <w:rPr>
                <w:rFonts w:cs="Times New Roman"/>
                <w:sz w:val="28"/>
                <w:szCs w:val="28"/>
              </w:rPr>
              <w:t>Bổ sung nguyên tắc liên quan đến hành vi vi phạm thuộc trường hợp xử phạt theo Điều 19a để đảm bảo một hành vi vi phạm hành chính chỉ bị xử phạt một lần theo đúng quy định của pháp luật.</w:t>
            </w:r>
          </w:p>
        </w:tc>
      </w:tr>
    </w:tbl>
    <w:p w14:paraId="01EC719A">
      <w:pPr>
        <w:spacing w:before="120" w:after="120" w:line="240" w:lineRule="auto"/>
        <w:ind w:firstLine="720"/>
        <w:jc w:val="both"/>
        <w:rPr>
          <w:rFonts w:cs="Times New Roman"/>
          <w:sz w:val="28"/>
          <w:szCs w:val="28"/>
        </w:rPr>
      </w:pPr>
    </w:p>
    <w:p w14:paraId="66CEDA0A">
      <w:pPr>
        <w:spacing w:before="120" w:after="120" w:line="240" w:lineRule="auto"/>
        <w:ind w:firstLine="720"/>
        <w:jc w:val="both"/>
        <w:rPr>
          <w:rFonts w:cs="Times New Roman"/>
          <w:b/>
          <w:bCs/>
          <w:sz w:val="28"/>
          <w:szCs w:val="28"/>
        </w:rPr>
      </w:pPr>
      <w:r>
        <w:rPr>
          <w:rFonts w:cs="Times New Roman"/>
          <w:b/>
          <w:bCs/>
          <w:sz w:val="28"/>
          <w:szCs w:val="28"/>
        </w:rPr>
        <w:t>3. Khuyến nghị đối với người nộp thuế và tổ chức có liên quan</w:t>
      </w:r>
    </w:p>
    <w:p w14:paraId="288F9B36">
      <w:pPr>
        <w:spacing w:before="120" w:after="120" w:line="240" w:lineRule="auto"/>
        <w:ind w:firstLine="720"/>
        <w:jc w:val="both"/>
        <w:rPr>
          <w:rFonts w:cs="Times New Roman"/>
          <w:sz w:val="28"/>
          <w:szCs w:val="28"/>
        </w:rPr>
      </w:pPr>
      <w:r>
        <w:rPr>
          <w:rFonts w:cs="Times New Roman"/>
          <w:sz w:val="28"/>
          <w:szCs w:val="28"/>
        </w:rPr>
        <w:t>Để bảo đảm thực hiện đúng quy định của pháp luật và hạn chế rủi ro bị xử phạt vi phạm hành chính, người nộp thuế và các tổ chức, cá nhân có liên quan cần lưu ý:</w:t>
      </w:r>
    </w:p>
    <w:p w14:paraId="28422E7A">
      <w:pPr>
        <w:spacing w:before="120" w:after="120" w:line="240" w:lineRule="auto"/>
        <w:ind w:firstLine="720"/>
        <w:jc w:val="both"/>
        <w:rPr>
          <w:rFonts w:cs="Times New Roman"/>
          <w:sz w:val="28"/>
          <w:szCs w:val="28"/>
        </w:rPr>
      </w:pPr>
      <w:r>
        <w:rPr>
          <w:rFonts w:cs="Times New Roman"/>
          <w:sz w:val="28"/>
          <w:szCs w:val="28"/>
        </w:rPr>
        <w:t>- Chủ động lưu trữ thông tin đầy đủ và thực hiện nghĩa vụ cung cấp thông tin theo yêu cầu của cơ quan thuế.</w:t>
      </w:r>
    </w:p>
    <w:p w14:paraId="0DFDB938">
      <w:pPr>
        <w:spacing w:before="120" w:after="120" w:line="240" w:lineRule="auto"/>
        <w:ind w:firstLine="720"/>
        <w:jc w:val="both"/>
        <w:rPr>
          <w:rFonts w:cs="Times New Roman"/>
          <w:sz w:val="28"/>
          <w:szCs w:val="28"/>
        </w:rPr>
      </w:pPr>
      <w:r>
        <w:rPr>
          <w:rFonts w:cs="Times New Roman"/>
          <w:sz w:val="28"/>
          <w:szCs w:val="28"/>
        </w:rPr>
        <w:t>- Cung cấp thông tin đầy đủ, chính xác và đúng thời hạn theo văn bản yêu cầu của cơ quan thuế.</w:t>
      </w:r>
    </w:p>
    <w:p w14:paraId="59B743FA">
      <w:pPr>
        <w:spacing w:before="120" w:after="120" w:line="240" w:lineRule="auto"/>
        <w:ind w:firstLine="720"/>
        <w:jc w:val="both"/>
        <w:rPr>
          <w:rFonts w:cs="Times New Roman"/>
          <w:sz w:val="28"/>
          <w:szCs w:val="28"/>
        </w:rPr>
      </w:pPr>
      <w:r>
        <w:rPr>
          <w:rFonts w:cs="Times New Roman"/>
          <w:sz w:val="28"/>
          <w:szCs w:val="28"/>
        </w:rPr>
        <w:t>- Phối hợp kịp thời với cơ quan thuế trong quá trình thu thập, xác minh thông tin phục vụ mục đích trao đổi thông tin về thuế.</w:t>
      </w:r>
    </w:p>
    <w:p w14:paraId="66B7B538">
      <w:pPr>
        <w:spacing w:before="120" w:after="120" w:line="240" w:lineRule="auto"/>
        <w:ind w:firstLine="720"/>
        <w:jc w:val="both"/>
        <w:rPr>
          <w:rFonts w:cs="Times New Roman"/>
          <w:sz w:val="28"/>
          <w:szCs w:val="28"/>
        </w:rPr>
      </w:pPr>
      <w:r>
        <w:rPr>
          <w:rFonts w:cs="Times New Roman"/>
          <w:sz w:val="28"/>
          <w:szCs w:val="28"/>
        </w:rPr>
        <w:t>- Thường xuyên cập nhật các quy định mới của pháp luật về quản lý thuế và xử lý vi phạm hành chính để bảo đảm tuân thủ đúng quy định.</w:t>
      </w:r>
    </w:p>
    <w:p w14:paraId="30B018A9">
      <w:pPr>
        <w:spacing w:before="120" w:after="120" w:line="240" w:lineRule="auto"/>
        <w:ind w:firstLine="720"/>
        <w:jc w:val="both"/>
        <w:rPr>
          <w:rFonts w:cs="Times New Roman"/>
          <w:sz w:val="28"/>
          <w:szCs w:val="28"/>
        </w:rPr>
      </w:pPr>
      <w:r>
        <w:rPr>
          <w:rFonts w:cs="Times New Roman"/>
          <w:sz w:val="28"/>
          <w:szCs w:val="28"/>
        </w:rPr>
        <w:t>Việc thực hiện nghiêm các quy định của Nghị định số 291/2026/NĐ-CP góp phần nâng cao tính minh bạch của hệ thống thuế, tăng cường hiệu quả trao đổi thông tin vì mục đích thuế và thực hiện đầy đủ các cam kết quốc tế của Việt Nam trong lĩnh vực thuế./.</w:t>
      </w:r>
    </w:p>
    <w:p w14:paraId="3333DBE8">
      <w:pPr>
        <w:spacing w:before="120" w:after="120" w:line="240" w:lineRule="auto"/>
        <w:ind w:firstLine="720"/>
        <w:jc w:val="center"/>
        <w:rPr>
          <w:rFonts w:cs="Times New Roman"/>
          <w:sz w:val="28"/>
          <w:szCs w:val="28"/>
        </w:rPr>
      </w:pPr>
      <w:r>
        <w:rPr>
          <w:rFonts w:cs="Times New Roman"/>
          <w:sz w:val="28"/>
          <w:szCs w:val="28"/>
        </w:rPr>
        <w:t>----------------------------------------</w:t>
      </w:r>
    </w:p>
    <w:p w14:paraId="3C3C8CA5">
      <w:pPr>
        <w:spacing w:before="120" w:after="120" w:line="240" w:lineRule="auto"/>
        <w:jc w:val="both"/>
        <w:rPr>
          <w:rFonts w:cs="Times New Roman"/>
          <w:b/>
          <w:bCs/>
          <w:sz w:val="28"/>
          <w:szCs w:val="28"/>
        </w:rPr>
      </w:pPr>
    </w:p>
    <w:p w14:paraId="068C8787">
      <w:pPr>
        <w:jc w:val="both"/>
        <w:rPr>
          <w:rFonts w:cs="Times New Roman"/>
        </w:rPr>
      </w:pPr>
    </w:p>
    <w:sectPr>
      <w:footerReference r:id="rId5" w:type="default"/>
      <w:pgSz w:w="12240" w:h="15840"/>
      <w:pgMar w:top="964" w:right="1134" w:bottom="964" w:left="1701" w:header="561" w:footer="561"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35403">
    <w:pPr>
      <w:pStyle w:val="18"/>
      <w:jc w:val="center"/>
    </w:pPr>
    <w:r>
      <w:rPr>
        <w:sz w:val="22"/>
      </w:rPr>
      <w:fldChar w:fldCharType="begin"/>
    </w:r>
    <w:r>
      <w:rPr>
        <w:sz w:val="22"/>
      </w:rPr>
      <w:instrText xml:space="preserve"> PAGE </w:instrText>
    </w:r>
    <w:r>
      <w:rPr>
        <w:sz w:val="22"/>
      </w:rPr>
      <w:fldChar w:fldCharType="separate"/>
    </w:r>
    <w:r>
      <w:rPr>
        <w:sz w:val="22"/>
      </w:rPr>
      <w:t>5</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63D2"/>
    <w:rsid w:val="000320D4"/>
    <w:rsid w:val="00034616"/>
    <w:rsid w:val="00045A61"/>
    <w:rsid w:val="0006063C"/>
    <w:rsid w:val="000714AB"/>
    <w:rsid w:val="000D2397"/>
    <w:rsid w:val="00102D8C"/>
    <w:rsid w:val="00126599"/>
    <w:rsid w:val="0015074B"/>
    <w:rsid w:val="001958A0"/>
    <w:rsid w:val="001B2ACC"/>
    <w:rsid w:val="002171A2"/>
    <w:rsid w:val="0024603C"/>
    <w:rsid w:val="00280E3C"/>
    <w:rsid w:val="0029639D"/>
    <w:rsid w:val="002C73D2"/>
    <w:rsid w:val="00326F90"/>
    <w:rsid w:val="003317A1"/>
    <w:rsid w:val="00383B69"/>
    <w:rsid w:val="003A3FD1"/>
    <w:rsid w:val="003E3DFF"/>
    <w:rsid w:val="00427C80"/>
    <w:rsid w:val="00486673"/>
    <w:rsid w:val="00497215"/>
    <w:rsid w:val="004D3B5C"/>
    <w:rsid w:val="00520F61"/>
    <w:rsid w:val="005D61FA"/>
    <w:rsid w:val="006C555C"/>
    <w:rsid w:val="007A0994"/>
    <w:rsid w:val="007B48D9"/>
    <w:rsid w:val="007F0723"/>
    <w:rsid w:val="007F0A6A"/>
    <w:rsid w:val="007F30CE"/>
    <w:rsid w:val="00810B54"/>
    <w:rsid w:val="0086345B"/>
    <w:rsid w:val="008C4A21"/>
    <w:rsid w:val="0094253C"/>
    <w:rsid w:val="009E4091"/>
    <w:rsid w:val="00A551DF"/>
    <w:rsid w:val="00AA133A"/>
    <w:rsid w:val="00AA1D8D"/>
    <w:rsid w:val="00B47730"/>
    <w:rsid w:val="00B85DF8"/>
    <w:rsid w:val="00C34F2A"/>
    <w:rsid w:val="00CB0664"/>
    <w:rsid w:val="00D175B5"/>
    <w:rsid w:val="00D51421"/>
    <w:rsid w:val="00DC08E4"/>
    <w:rsid w:val="00DF26F3"/>
    <w:rsid w:val="00E049A8"/>
    <w:rsid w:val="00E6325C"/>
    <w:rsid w:val="00F365BD"/>
    <w:rsid w:val="00FC693F"/>
    <w:rsid w:val="00FF4B05"/>
    <w:rsid w:val="7FC846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6"/>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000000"/>
      <w:sz w:val="27"/>
      <w:szCs w:val="26"/>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semiHidden/>
    <w:unhideWhenUsed/>
    <w:qFormat/>
    <w:uiPriority w:val="99"/>
    <w:pPr>
      <w:spacing w:before="100" w:beforeAutospacing="1" w:after="100" w:afterAutospacing="1" w:line="240" w:lineRule="auto"/>
    </w:pPr>
    <w:rPr>
      <w:rFonts w:cs="Times New Roman"/>
      <w:sz w:val="24"/>
      <w:szCs w:val="24"/>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qFormat/>
    <w:uiPriority w:val="99"/>
  </w:style>
  <w:style w:type="character" w:customStyle="1" w:styleId="147">
    <w:name w:val="Body Text 3 Char"/>
    <w:basedOn w:val="11"/>
    <w:link w:val="15"/>
    <w:qFormat/>
    <w:uiPriority w:val="99"/>
    <w:rPr>
      <w:sz w:val="16"/>
      <w:szCs w:val="16"/>
    </w:rPr>
  </w:style>
  <w:style w:type="character" w:customStyle="1" w:styleId="148">
    <w:name w:val="Macro Text Char"/>
    <w:basedOn w:val="11"/>
    <w:link w:val="3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qFormat/>
    <w:uiPriority w:val="29"/>
    <w:rPr>
      <w:i/>
      <w:iCs/>
      <w:color w:val="000000" w:themeColor="text1"/>
      <w14:textFill>
        <w14:solidFill>
          <w14:schemeClr w14:val="tx1"/>
        </w14:solidFill>
      </w14:textFill>
    </w:rPr>
  </w:style>
  <w:style w:type="character" w:customStyle="1" w:styleId="151">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qFormat/>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3C53D-B632-49E5-BC7A-2CF329D0B775}">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2250</Words>
  <Characters>8059</Characters>
  <Lines>73</Lines>
  <Paragraphs>20</Paragraphs>
  <TotalTime>14</TotalTime>
  <ScaleCrop>false</ScaleCrop>
  <LinksUpToDate>false</LinksUpToDate>
  <CharactersWithSpaces>10251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2026-08-04T08:21:00Z</dcterms:created>
  <dc:creator>Cục Thuế</dc:creator>
  <dc:description>generated by python-docx</dc:description>
  <cp:lastModifiedBy>Mỹ Duyên</cp:lastModifiedBy>
  <cp:lastPrinted>2026-08-03T07:40:00Z</cp:lastPrinted>
  <dcterms:modified xsi:type="dcterms:W3CDTF">2026-08-08T07:22:52Z</dcterms:modified>
  <dc:subject>Nghĩa vụ cung cấp thông tin và xử phạt vi phạm hành chính</dc:subject>
  <dc:title>Tài liệu tuyên truyền Điều 63 Nghị định 252 và Nghị định 291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0E3D6A54634647D6B4E8FD6F71365EF7_13</vt:lpwstr>
  </property>
</Properties>
</file>