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E1" w:rsidRPr="00EA6AE1" w:rsidRDefault="00EA6AE1" w:rsidP="00EA6AE1">
      <w:pPr>
        <w:shd w:val="clear" w:color="auto" w:fill="FFFFFF"/>
        <w:spacing w:after="0" w:line="234" w:lineRule="atLeast"/>
        <w:jc w:val="center"/>
        <w:rPr>
          <w:rFonts w:ascii="Arial" w:eastAsia="Times New Roman" w:hAnsi="Arial" w:cs="Arial"/>
          <w:color w:val="000000"/>
          <w:sz w:val="18"/>
          <w:szCs w:val="18"/>
        </w:rPr>
      </w:pPr>
      <w:bookmarkStart w:id="0" w:name="chuong_pl_1"/>
      <w:r w:rsidRPr="00EA6AE1">
        <w:rPr>
          <w:rFonts w:ascii="Arial" w:eastAsia="Times New Roman" w:hAnsi="Arial" w:cs="Arial"/>
          <w:b/>
          <w:bCs/>
          <w:color w:val="000000"/>
          <w:sz w:val="18"/>
          <w:szCs w:val="18"/>
        </w:rPr>
        <w:t>Phụ lục số I</w:t>
      </w:r>
      <w:bookmarkEnd w:id="0"/>
    </w:p>
    <w:p w:rsidR="00EA6AE1" w:rsidRPr="00EA6AE1" w:rsidRDefault="00EA6AE1" w:rsidP="00EA6AE1">
      <w:pPr>
        <w:shd w:val="clear" w:color="auto" w:fill="FFFFFF"/>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(Kèm theo Quyết định số 2201/QĐ-TCT ngày 31 tháng 12 năm 2024 của Tổng cục trưởng Tổng cục Thuế)</w:t>
      </w:r>
    </w:p>
    <w:p w:rsidR="00EA6AE1" w:rsidRPr="00EA6AE1" w:rsidRDefault="00EA6AE1" w:rsidP="00EA6AE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EA6AE1">
        <w:rPr>
          <w:rFonts w:ascii="Arial" w:eastAsia="Times New Roman" w:hAnsi="Arial" w:cs="Arial"/>
          <w:b/>
          <w:bCs/>
          <w:color w:val="000000"/>
          <w:sz w:val="18"/>
          <w:szCs w:val="18"/>
        </w:rPr>
        <w:t>SỬA ĐỔI, BỔ SUNG DANH MỤC 3. PHÂN CÔNG XỬ LÝ HỒ SƠ HOÀN THUẾ</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1401"/>
        <w:gridCol w:w="1401"/>
        <w:gridCol w:w="1308"/>
        <w:gridCol w:w="1308"/>
        <w:gridCol w:w="1308"/>
        <w:gridCol w:w="1027"/>
        <w:gridCol w:w="1027"/>
      </w:tblGrid>
      <w:tr w:rsidR="00EA6AE1" w:rsidRPr="00EA6AE1" w:rsidTr="00EA6AE1">
        <w:trPr>
          <w:tblCellSpacing w:w="0" w:type="dxa"/>
        </w:trPr>
        <w:tc>
          <w:tcPr>
            <w:tcW w:w="1050"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Công việc/Nhiệm vụ</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Hoàn thuế theo quy định của pháp luật</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Hoàn thuế của cá nhân có thu nhập từ tiền lương, tiền công trực tiếp quyết toán thuế và hoàn thuế TNCN của cơ quan chi trả</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Hoàn nộp thừa các loại thuế và các khoản thu khác</w:t>
            </w:r>
          </w:p>
        </w:tc>
      </w:tr>
      <w:tr w:rsidR="00EA6AE1" w:rsidRPr="00EA6AE1" w:rsidTr="00EA6AE1">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1450" w:type="pct"/>
            <w:gridSpan w:val="2"/>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Bộ phận thực hiện</w:t>
            </w:r>
          </w:p>
        </w:tc>
        <w:tc>
          <w:tcPr>
            <w:tcW w:w="1400" w:type="pct"/>
            <w:gridSpan w:val="2"/>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Bộ phận thực hiện</w:t>
            </w:r>
          </w:p>
        </w:tc>
        <w:tc>
          <w:tcPr>
            <w:tcW w:w="1000" w:type="pct"/>
            <w:gridSpan w:val="2"/>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Bộ phận thực hiện</w:t>
            </w:r>
          </w:p>
        </w:tc>
      </w:tr>
      <w:tr w:rsidR="00EA6AE1" w:rsidRPr="00EA6AE1" w:rsidTr="00EA6AE1">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Cục Thuế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Chi cục Thuế</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Cục Thuế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Chi cục Thuế</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Cục Thuế</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b/>
                <w:bCs/>
                <w:color w:val="000000"/>
                <w:sz w:val="18"/>
                <w:szCs w:val="18"/>
              </w:rPr>
              <w:t>Chi cục Thuế</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(1)</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(5)</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i/>
                <w:iCs/>
                <w:color w:val="000000"/>
                <w:sz w:val="18"/>
                <w:szCs w:val="18"/>
              </w:rPr>
              <w:t>(7)</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1. Tiếp nhận, phân loại hồ sơ</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r>
      <w:tr w:rsidR="00EA6AE1" w:rsidRPr="00EA6AE1" w:rsidTr="00EA6AE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Điện tử</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giá trị gia tăng</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thuế GTGT điện tử của người nộp thuế do Cục Thuế quản lý trực tiếp hoặc Cục Thuế nơi có dự án đầu tư.</w:t>
            </w:r>
          </w:p>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thuế TTĐB điện tử của người nộp thuế do Cục Thuế quản lý trực tiếp.</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thuế GTGT điện tử của người nộp thuế do Chi cục Thuế quản lý trực tiếp</w:t>
            </w:r>
          </w:p>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TTĐB điện tử của người nộp thuế do Chi cục Thuế quản lý trực tiếp.</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Quản lý thuế TNCN/Bộ phận được thủ trưởng CQT phân công tiếp nhận hồ sơ hoàn TNCN nơi cá nhân nộp hồ sơ quyết toán thuế/nơi quản lý trực tiếp cơ quan chi trả</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Quản lý thuế TNCN/Bộ phận được thủ trưởng CQT phân công tiếp nhận hồ sơ hoàn TNCN nơi cá nhân nộp hồ sơ quyết toán thuế/nơi quản lý trực tiếp cơ quan chi trả</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nộp thừa điện tử của người nộp thuế do Cục Thuế quản lý trực tiếp</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 tiếp nhận hồ sơ hoàn nộp thừa điện tử của người nộp thuế do Cục Thuế quản lý trực tiếp</w:t>
            </w:r>
          </w:p>
        </w:tc>
      </w:tr>
      <w:tr w:rsidR="00EA6AE1" w:rsidRPr="00EA6AE1" w:rsidTr="00EA6A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TTĐB đối với xăng sinh học</w:t>
            </w: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r>
      <w:tr w:rsidR="00EA6AE1" w:rsidRPr="00EA6AE1" w:rsidTr="00EA6AE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Qua bưu chính</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giá trị gia tăng</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r>
      <w:tr w:rsidR="00EA6AE1" w:rsidRPr="00EA6AE1" w:rsidTr="00EA6A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TTĐB đối với xăng sinh học</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Hành chính văn thư</w:t>
            </w: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r>
      <w:tr w:rsidR="00EA6AE1" w:rsidRPr="00EA6AE1" w:rsidTr="00EA6AE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lastRenderedPageBreak/>
              <w:t>Trực tiếp</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giá trị gia tăng</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r>
      <w:tr w:rsidR="00EA6AE1" w:rsidRPr="00EA6AE1" w:rsidTr="00EA6A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Hoàn thuế theo quy định của pháp luật về thuế TTĐB đối với xăng sinh học</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r>
      <w:tr w:rsidR="00EA6AE1" w:rsidRPr="00EA6AE1" w:rsidTr="00EA6AE1">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2. Giải quyết hồ sơ</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a. Hồ sơ thuộc diện hoàn thuế trước, kiểm tra sau</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Quản lý thuế TNCN/Bộ phận được thủ trưởng CQT phân công</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Quản lý thuế TNCN/Bộ phận được thủ trưởng CQT phân công</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KK&amp;KTT thuế giải quyết các HSHT, trừ các HSHT do Bộ phận giải quyết hồ sơ hoàn các khoản thu từ đất và Bộ phận Quản lý thuế TNCN giải quyết</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KK&amp;KTT thuế giải quyết các HSHT, trừ các HSHT do Bộ phận giải quyết hồ sơ hoàn các khoản thu từ đất và Bộ phận Quản lý thuế TNCN giải quyết</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b. Hồ sơ thuộc diện kiểm tra trước, hoàn thuế sau</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3. Kiểm soát hoàn thuế</w:t>
            </w:r>
          </w:p>
        </w:tc>
        <w:tc>
          <w:tcPr>
            <w:tcW w:w="3900" w:type="pct"/>
            <w:gridSpan w:val="6"/>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Hệ thống TMS thực hiện kiểm soát tự động</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4. Thẩm định hồ sơ</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 nếu thuộc trường hợp phải thẩm định</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 nếu thuộc trường hợp phải thẩm định</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Thẩm định pháp chế</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5. Phê duyệt quyết định hoàn thuế/Thông báo về việc không được hoàn thuế/Thông báo về việc hồ sơ chưa đủ điều kiện hoàn thuế và các văn bản có liên quan</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 (hoặc người được ủy quyền theo quy định)</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 (hoặc người được ủy quyền theo quy định)</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Thuế/Lãnh đạo bộ phận được phân công/được ủy quyền theo quy định</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Thuế/Lãnh đạo bộ phận được phân công/được ủy quyền theo quy định</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 (hoặc người được ủy quyền theo quy định)</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 (hoặc người được ủy quyền theo quy định)</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lastRenderedPageBreak/>
              <w:t>6. Phê duyệt lệnh hoàn</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 (hoặc người được ủy quyền theo quy định)</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 (hoặc người được ủy quyền theo quy định)</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Thuế/Lãnh đạo bộ phận được phân công/được ủy quyền theo quy định</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Thuế/Lãnh đạo bộ phận được phân công/được ủy quyền theo quy định</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Cục Thuế (hoặc người được ủy quyền theo quy định)</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Lãnh đạo Chi Cục Thuế (hoặc người được ủy quyền theo quy định)</w:t>
            </w:r>
          </w:p>
        </w:tc>
      </w:tr>
      <w:tr w:rsidR="00EA6AE1" w:rsidRPr="00EA6AE1" w:rsidTr="00EA6AE1">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7. Lưu hành trả kết quả</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a. Cấp số/ngày sau văn bản</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Văn thư</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b. Trả kết quả cho NNT</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after="0" w:line="240" w:lineRule="auto"/>
              <w:rPr>
                <w:rFonts w:ascii="Times New Roman" w:eastAsia="Times New Roman" w:hAnsi="Times New Roman" w:cs="Times New Roman"/>
                <w:sz w:val="20"/>
                <w:szCs w:val="20"/>
              </w:rPr>
            </w:pP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Điện tử</w:t>
            </w:r>
          </w:p>
        </w:tc>
        <w:tc>
          <w:tcPr>
            <w:tcW w:w="0" w:type="pct"/>
            <w:gridSpan w:val="6"/>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Cổng thông tin điện tử của Tổng cục Thuế gửi văn bản đến địa chỉ thư điện tử người nộp thuế đã đăng ký với cơ quan Thuế và tài khoản thuế điện tử của người nộp thuế trên Cổng thông tin điện tử của Tổng cục Thuế.</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Qua bưu chính</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nhận Hành chính văn thư</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color w:val="000000"/>
                <w:sz w:val="18"/>
                <w:szCs w:val="18"/>
              </w:rPr>
              <w:t>Trực tiếp</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tuyên truyền hỗ trợ</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8. Kế toán chi hoàn</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Kê khai và Kế toán thuế</w:t>
            </w:r>
          </w:p>
        </w:tc>
      </w:tr>
      <w:tr w:rsidR="00EA6AE1" w:rsidRPr="00EA6AE1" w:rsidTr="00EA6AE1">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rPr>
                <w:rFonts w:ascii="Arial" w:eastAsia="Times New Roman" w:hAnsi="Arial" w:cs="Arial"/>
                <w:color w:val="000000"/>
                <w:sz w:val="18"/>
                <w:szCs w:val="18"/>
              </w:rPr>
            </w:pPr>
            <w:r w:rsidRPr="00EA6AE1">
              <w:rPr>
                <w:rFonts w:ascii="Arial" w:eastAsia="Times New Roman" w:hAnsi="Arial" w:cs="Arial"/>
                <w:b/>
                <w:bCs/>
                <w:color w:val="000000"/>
                <w:sz w:val="18"/>
                <w:szCs w:val="18"/>
              </w:rPr>
              <w:t>9. Kiểm tra, thanh tra sau hoàn</w:t>
            </w:r>
          </w:p>
        </w:tc>
        <w:tc>
          <w:tcPr>
            <w:tcW w:w="7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70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6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5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c>
          <w:tcPr>
            <w:tcW w:w="450" w:type="pct"/>
            <w:tcBorders>
              <w:top w:val="nil"/>
              <w:left w:val="nil"/>
              <w:bottom w:val="single" w:sz="8" w:space="0" w:color="auto"/>
              <w:right w:val="single" w:sz="8" w:space="0" w:color="auto"/>
            </w:tcBorders>
            <w:shd w:val="clear" w:color="auto" w:fill="FFFFFF"/>
            <w:vAlign w:val="center"/>
            <w:hideMark/>
          </w:tcPr>
          <w:p w:rsidR="00EA6AE1" w:rsidRPr="00EA6AE1" w:rsidRDefault="00EA6AE1" w:rsidP="00EA6AE1">
            <w:pPr>
              <w:spacing w:before="120" w:after="120" w:line="234" w:lineRule="atLeast"/>
              <w:jc w:val="center"/>
              <w:rPr>
                <w:rFonts w:ascii="Arial" w:eastAsia="Times New Roman" w:hAnsi="Arial" w:cs="Arial"/>
                <w:color w:val="000000"/>
                <w:sz w:val="18"/>
                <w:szCs w:val="18"/>
              </w:rPr>
            </w:pPr>
            <w:r w:rsidRPr="00EA6AE1">
              <w:rPr>
                <w:rFonts w:ascii="Arial" w:eastAsia="Times New Roman" w:hAnsi="Arial" w:cs="Arial"/>
                <w:color w:val="000000"/>
                <w:sz w:val="18"/>
                <w:szCs w:val="18"/>
              </w:rPr>
              <w:t>Bộ phận Thanh tra - Kiểm tra</w:t>
            </w:r>
          </w:p>
        </w:tc>
      </w:tr>
    </w:tbl>
    <w:p w:rsidR="00824238" w:rsidRDefault="00824238">
      <w:bookmarkStart w:id="2" w:name="_GoBack"/>
      <w:bookmarkEnd w:id="2"/>
    </w:p>
    <w:sectPr w:rsidR="00824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E1"/>
    <w:rsid w:val="00824238"/>
    <w:rsid w:val="00EA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DCC51-70BA-46CF-87F6-BDA6DD35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2025-02-04T04:16:00Z</dcterms:created>
  <dcterms:modified xsi:type="dcterms:W3CDTF">2025-02-04T04:16:00Z</dcterms:modified>
</cp:coreProperties>
</file>