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8B" w:rsidRPr="00235D8B" w:rsidRDefault="00235D8B" w:rsidP="00235D8B">
      <w:pPr>
        <w:shd w:val="clear" w:color="auto" w:fill="FFFFFF"/>
        <w:spacing w:line="234" w:lineRule="atLeast"/>
        <w:jc w:val="center"/>
        <w:rPr>
          <w:color w:val="000000"/>
          <w:sz w:val="26"/>
          <w:szCs w:val="26"/>
        </w:rPr>
      </w:pPr>
      <w:bookmarkStart w:id="0" w:name="chuong_phuluc_2"/>
      <w:r w:rsidRPr="00235D8B">
        <w:rPr>
          <w:b/>
          <w:bCs/>
          <w:color w:val="000000"/>
          <w:sz w:val="26"/>
          <w:szCs w:val="26"/>
          <w:lang w:val="vi-VN"/>
        </w:rPr>
        <w:t>PHỤ LỤC SỐ 02</w:t>
      </w:r>
      <w:bookmarkEnd w:id="0"/>
    </w:p>
    <w:p w:rsidR="00235D8B" w:rsidRPr="00235D8B" w:rsidRDefault="00235D8B" w:rsidP="00235D8B">
      <w:pPr>
        <w:shd w:val="clear" w:color="auto" w:fill="FFFFFF"/>
        <w:spacing w:line="234" w:lineRule="atLeast"/>
        <w:jc w:val="center"/>
        <w:rPr>
          <w:color w:val="000000"/>
          <w:sz w:val="26"/>
          <w:szCs w:val="26"/>
        </w:rPr>
      </w:pPr>
      <w:bookmarkStart w:id="1" w:name="chuong_phuluc_2_name"/>
      <w:r w:rsidRPr="00235D8B">
        <w:rPr>
          <w:color w:val="000000"/>
          <w:sz w:val="26"/>
          <w:szCs w:val="26"/>
          <w:lang w:val="vi-VN"/>
        </w:rPr>
        <w:t>TIÊU CHÍ ĐÁNH GIÁ ĐỐI VỚI NHÀ CHUNG CƯ HẠNG B</w:t>
      </w:r>
      <w:bookmarkEnd w:id="1"/>
      <w:r w:rsidRPr="00235D8B">
        <w:rPr>
          <w:color w:val="000000"/>
          <w:sz w:val="26"/>
          <w:szCs w:val="26"/>
        </w:rPr>
        <w:br/>
      </w:r>
      <w:r w:rsidRPr="00235D8B">
        <w:rPr>
          <w:i/>
          <w:iCs/>
          <w:color w:val="000000"/>
          <w:sz w:val="26"/>
          <w:szCs w:val="26"/>
          <w:lang w:val="vi-VN"/>
        </w:rPr>
        <w:t>(Ban hành kèm theo Thông tư s</w:t>
      </w:r>
      <w:r w:rsidRPr="00235D8B">
        <w:rPr>
          <w:i/>
          <w:iCs/>
          <w:color w:val="000000"/>
          <w:sz w:val="26"/>
          <w:szCs w:val="26"/>
        </w:rPr>
        <w:t>ố</w:t>
      </w:r>
      <w:r w:rsidRPr="00235D8B">
        <w:rPr>
          <w:i/>
          <w:iCs/>
          <w:color w:val="000000"/>
          <w:sz w:val="26"/>
          <w:szCs w:val="26"/>
          <w:lang w:val="vi-VN"/>
        </w:rPr>
        <w:t> 3</w:t>
      </w:r>
      <w:r w:rsidRPr="00235D8B">
        <w:rPr>
          <w:i/>
          <w:iCs/>
          <w:color w:val="000000"/>
          <w:sz w:val="26"/>
          <w:szCs w:val="26"/>
        </w:rPr>
        <w:t>1</w:t>
      </w:r>
      <w:r w:rsidRPr="00235D8B">
        <w:rPr>
          <w:i/>
          <w:iCs/>
          <w:color w:val="000000"/>
          <w:sz w:val="26"/>
          <w:szCs w:val="26"/>
          <w:lang w:val="vi-VN"/>
        </w:rPr>
        <w:t>/20</w:t>
      </w:r>
      <w:r w:rsidRPr="00235D8B">
        <w:rPr>
          <w:i/>
          <w:iCs/>
          <w:color w:val="000000"/>
          <w:sz w:val="26"/>
          <w:szCs w:val="26"/>
        </w:rPr>
        <w:t>1</w:t>
      </w:r>
      <w:r w:rsidRPr="00235D8B">
        <w:rPr>
          <w:i/>
          <w:iCs/>
          <w:color w:val="000000"/>
          <w:sz w:val="26"/>
          <w:szCs w:val="26"/>
          <w:lang w:val="vi-VN"/>
        </w:rPr>
        <w:t>6/TT-BXD ngày 30 tháng </w:t>
      </w:r>
      <w:r w:rsidRPr="00235D8B">
        <w:rPr>
          <w:i/>
          <w:iCs/>
          <w:color w:val="000000"/>
          <w:sz w:val="26"/>
          <w:szCs w:val="26"/>
        </w:rPr>
        <w:t>1</w:t>
      </w:r>
      <w:r w:rsidRPr="00235D8B">
        <w:rPr>
          <w:i/>
          <w:iCs/>
          <w:color w:val="000000"/>
          <w:sz w:val="26"/>
          <w:szCs w:val="26"/>
          <w:lang w:val="vi-VN"/>
        </w:rPr>
        <w:t>2 năm 20</w:t>
      </w:r>
      <w:r w:rsidRPr="00235D8B">
        <w:rPr>
          <w:i/>
          <w:iCs/>
          <w:color w:val="000000"/>
          <w:sz w:val="26"/>
          <w:szCs w:val="26"/>
        </w:rPr>
        <w:t>1</w:t>
      </w:r>
      <w:r w:rsidRPr="00235D8B">
        <w:rPr>
          <w:i/>
          <w:iCs/>
          <w:color w:val="000000"/>
          <w:sz w:val="26"/>
          <w:szCs w:val="26"/>
          <w:lang w:val="vi-VN"/>
        </w:rPr>
        <w:t>6 của Bộ trưởng Bộ Xây dựng)</w:t>
      </w:r>
    </w:p>
    <w:p w:rsidR="00235D8B" w:rsidRPr="00235D8B" w:rsidRDefault="00235D8B" w:rsidP="00235D8B">
      <w:pPr>
        <w:shd w:val="clear" w:color="auto" w:fill="FFFFFF"/>
        <w:spacing w:before="120" w:after="120" w:line="234" w:lineRule="atLeast"/>
        <w:rPr>
          <w:color w:val="000000"/>
          <w:sz w:val="26"/>
          <w:szCs w:val="26"/>
        </w:rPr>
      </w:pPr>
      <w:r w:rsidRPr="00235D8B">
        <w:rPr>
          <w:b/>
          <w:bCs/>
          <w:color w:val="000000"/>
          <w:sz w:val="26"/>
          <w:szCs w:val="26"/>
          <w:lang w:val="vi-VN"/>
        </w:rPr>
        <w:t>I. Quy hoạch -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 Vị trí:</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hệ thống giao thông thuận tiện, cách đường phố chính (cấp đô thị, cấp khu vực) dưới 0,5 km; có thể tiếp cận phương tiện giao thông công cộng đô thị (cách ga, bến đỗ, trạm dừng xe bus, tàu điện ngầm, tàu điện trên cao) trong phạm vi dưới 1 km.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2. Mật độ xây dựng</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Mật độ xây dựng (diện tích chiếm đất công trình) không quá 55%.</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3. Sảnh căn hộ</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Sảnh chính khu căn hộ được bố trí độc lập với lối vào khu vực để xe, khu vực </w:t>
            </w:r>
            <w:r w:rsidRPr="00235D8B">
              <w:rPr>
                <w:color w:val="000000"/>
                <w:sz w:val="26"/>
                <w:szCs w:val="26"/>
              </w:rPr>
              <w:t>d</w:t>
            </w:r>
            <w:r w:rsidRPr="00235D8B">
              <w:rPr>
                <w:color w:val="000000"/>
                <w:sz w:val="26"/>
                <w:szCs w:val="26"/>
                <w:lang w:val="vi-VN"/>
              </w:rPr>
              <w:t>ịch vụ, thương mại và khu vực công cộng khác.</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4. Hành lang</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Hành lang c</w:t>
            </w:r>
            <w:r w:rsidRPr="00235D8B">
              <w:rPr>
                <w:color w:val="000000"/>
                <w:sz w:val="26"/>
                <w:szCs w:val="26"/>
              </w:rPr>
              <w:t>ă</w:t>
            </w:r>
            <w:r w:rsidRPr="00235D8B">
              <w:rPr>
                <w:color w:val="000000"/>
                <w:sz w:val="26"/>
                <w:szCs w:val="26"/>
                <w:lang w:val="vi-VN"/>
              </w:rPr>
              <w:t>n hộ có chiều rộng tối thiểu 1,5 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5. Diện tích căn hộ</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Bình quân diện tích sử dụng căn hộ </w:t>
            </w:r>
            <w:r w:rsidRPr="00235D8B">
              <w:rPr>
                <w:color w:val="000000"/>
                <w:sz w:val="26"/>
                <w:szCs w:val="26"/>
              </w:rPr>
              <w:t>tr</w:t>
            </w:r>
            <w:r w:rsidRPr="00235D8B">
              <w:rPr>
                <w:color w:val="000000"/>
                <w:sz w:val="26"/>
                <w:szCs w:val="26"/>
                <w:lang w:val="vi-VN"/>
              </w:rPr>
              <w:t>ên số phòng ngủ tối thiểu 30 m</w:t>
            </w:r>
            <w:r w:rsidRPr="00235D8B">
              <w:rPr>
                <w:color w:val="000000"/>
                <w:sz w:val="26"/>
                <w:szCs w:val="26"/>
                <w:vertAlign w:val="superscript"/>
                <w:lang w:val="vi-VN"/>
              </w:rPr>
              <w:t>2</w:t>
            </w:r>
            <w:r w:rsidRPr="00235D8B">
              <w:rPr>
                <w:color w:val="000000"/>
                <w:sz w:val="26"/>
                <w:szCs w:val="26"/>
                <w:lang w:val="vi-VN"/>
              </w:rPr>
              <w:t>. Tính theo công thức: </w:t>
            </w:r>
            <w:r w:rsidRPr="00235D8B">
              <w:rPr>
                <w:noProof/>
                <w:color w:val="000000"/>
                <w:sz w:val="26"/>
                <w:szCs w:val="26"/>
              </w:rPr>
              <w:drawing>
                <wp:inline distT="0" distB="0" distL="0" distR="0">
                  <wp:extent cx="425450" cy="340360"/>
                  <wp:effectExtent l="0" t="0" r="0" b="2540"/>
                  <wp:docPr id="5" name="Picture 5" descr="https://files.thuvienphapluat.vn/doc2htm/0033860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vienphapluat.vn/doc2htm/00338600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340360"/>
                          </a:xfrm>
                          <a:prstGeom prst="rect">
                            <a:avLst/>
                          </a:prstGeom>
                          <a:noFill/>
                          <a:ln>
                            <a:noFill/>
                          </a:ln>
                        </pic:spPr>
                      </pic:pic>
                    </a:graphicData>
                  </a:graphic>
                </wp:inline>
              </w:drawing>
            </w:r>
            <w:r w:rsidRPr="00235D8B">
              <w:rPr>
                <w:color w:val="000000"/>
                <w:sz w:val="26"/>
                <w:szCs w:val="26"/>
                <w:lang w:val="vi-VN"/>
              </w:rPr>
              <w:t> ≥ 30m</w:t>
            </w:r>
            <w:r w:rsidRPr="00235D8B">
              <w:rPr>
                <w:color w:val="000000"/>
                <w:sz w:val="26"/>
                <w:szCs w:val="26"/>
                <w:vertAlign w:val="superscript"/>
                <w:lang w:val="vi-VN"/>
              </w:rPr>
              <w:t>2</w:t>
            </w:r>
            <w:r w:rsidRPr="00235D8B">
              <w:rPr>
                <w:color w:val="000000"/>
                <w:sz w:val="26"/>
                <w:szCs w:val="26"/>
                <w:lang w:val="vi-VN"/>
              </w:rPr>
              <w:t> (Trong đó TDtCh là tổng diện tích sử dụng các căn hộ, TsPn là tổng số phòng ngủ các căn hộ).</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6. Phòng v</w:t>
            </w:r>
            <w:bookmarkStart w:id="2" w:name="_GoBack"/>
            <w:bookmarkEnd w:id="2"/>
            <w:r w:rsidRPr="00235D8B">
              <w:rPr>
                <w:color w:val="000000"/>
                <w:sz w:val="26"/>
                <w:szCs w:val="26"/>
                <w:lang w:val="vi-VN"/>
              </w:rPr>
              <w:t>ệ sinh</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Bình quân tổng số phòng vệ sinh trên tổng số phòng ngủ của các căn hộ ≥0,5. Tính theo công thức: </w:t>
            </w:r>
            <w:r w:rsidRPr="00235D8B">
              <w:rPr>
                <w:noProof/>
                <w:color w:val="000000"/>
                <w:sz w:val="26"/>
                <w:szCs w:val="26"/>
              </w:rPr>
              <w:drawing>
                <wp:inline distT="0" distB="0" distL="0" distR="0">
                  <wp:extent cx="446405" cy="340360"/>
                  <wp:effectExtent l="0" t="0" r="0" b="2540"/>
                  <wp:docPr id="4" name="Picture 4" descr="https://files.thuvienphapluat.vn/doc2htm/00338600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vienphapluat.vn/doc2htm/00338600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 cy="340360"/>
                          </a:xfrm>
                          <a:prstGeom prst="rect">
                            <a:avLst/>
                          </a:prstGeom>
                          <a:noFill/>
                          <a:ln>
                            <a:noFill/>
                          </a:ln>
                        </pic:spPr>
                      </pic:pic>
                    </a:graphicData>
                  </a:graphic>
                </wp:inline>
              </w:drawing>
            </w:r>
            <w:r w:rsidRPr="00235D8B">
              <w:rPr>
                <w:color w:val="000000"/>
                <w:sz w:val="26"/>
                <w:szCs w:val="26"/>
                <w:lang w:val="vi-VN"/>
              </w:rPr>
              <w:t> ≥ 0,5 (Trong đó TsPwc là tổng số phòng vệ sinh các căn hộ, TsPn là tổng số phòng ngủ các căn hộ).</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7. Thang máy</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Mỗi thang máy phục vụ tối đa không quá 50 căn hộ (tổng số căn hộ chia cho tổng số thang máy phục vụ căn hộ ≤ 50).</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8. Chỗ để xe</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Tối thiểu 02 căn hộ có 01 chỗ để ô tô (có mái che).</w:t>
            </w:r>
          </w:p>
        </w:tc>
      </w:tr>
    </w:tbl>
    <w:p w:rsidR="00235D8B" w:rsidRPr="00235D8B" w:rsidRDefault="00235D8B" w:rsidP="00235D8B">
      <w:pPr>
        <w:shd w:val="clear" w:color="auto" w:fill="FFFFFF"/>
        <w:spacing w:before="120" w:after="120" w:line="234" w:lineRule="atLeast"/>
        <w:rPr>
          <w:color w:val="000000"/>
          <w:sz w:val="26"/>
          <w:szCs w:val="26"/>
        </w:rPr>
      </w:pPr>
      <w:r w:rsidRPr="00235D8B">
        <w:rPr>
          <w:b/>
          <w:bCs/>
          <w:color w:val="000000"/>
          <w:sz w:val="26"/>
          <w:szCs w:val="26"/>
          <w:lang w:val="vi-VN"/>
        </w:rPr>
        <w:t>II. Hệ thống, thiết bị kỹ thuật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9. Cấp điện</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máy phát đ</w:t>
            </w:r>
            <w:r w:rsidRPr="00235D8B">
              <w:rPr>
                <w:color w:val="000000"/>
                <w:sz w:val="26"/>
                <w:szCs w:val="26"/>
              </w:rPr>
              <w:t>i</w:t>
            </w:r>
            <w:r w:rsidRPr="00235D8B">
              <w:rPr>
                <w:color w:val="000000"/>
                <w:sz w:val="26"/>
                <w:szCs w:val="26"/>
                <w:lang w:val="vi-VN"/>
              </w:rPr>
              <w:t xml:space="preserve">ện dự phòng đủ công suất và hệ thống cấp điện đảm bảo cho hoạt động của các thiết bị, chiếu sáng </w:t>
            </w:r>
            <w:r w:rsidRPr="00235D8B">
              <w:rPr>
                <w:color w:val="000000"/>
                <w:sz w:val="26"/>
                <w:szCs w:val="26"/>
                <w:lang w:val="vi-VN"/>
              </w:rPr>
              <w:lastRenderedPageBreak/>
              <w:t>chung của tòa nhà khi mất điện lưới hoặc nguồn cấp điện bình thường khác của tòa nhà.</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lastRenderedPageBreak/>
              <w:t>10. </w:t>
            </w:r>
            <w:r w:rsidRPr="00235D8B">
              <w:rPr>
                <w:color w:val="000000"/>
                <w:sz w:val="26"/>
                <w:szCs w:val="26"/>
              </w:rPr>
              <w:t>C</w:t>
            </w:r>
            <w:r w:rsidRPr="00235D8B">
              <w:rPr>
                <w:color w:val="000000"/>
                <w:sz w:val="26"/>
                <w:szCs w:val="26"/>
                <w:lang w:val="vi-VN"/>
              </w:rPr>
              <w:t>ấp nước</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Dung tích bể chứa nước sinh hoạt cho căn hộ trên tổng số căn hộ tối thiểu đạt 1.200 lít (đảm bảo cấp 150 lí</w:t>
            </w:r>
            <w:r w:rsidRPr="00235D8B">
              <w:rPr>
                <w:color w:val="000000"/>
                <w:sz w:val="26"/>
                <w:szCs w:val="26"/>
              </w:rPr>
              <w:t>t/</w:t>
            </w:r>
            <w:r w:rsidRPr="00235D8B">
              <w:rPr>
                <w:color w:val="000000"/>
                <w:sz w:val="26"/>
                <w:szCs w:val="26"/>
                <w:lang w:val="vi-VN"/>
              </w:rPr>
              <w:t>người/ngày-đêm trong 2 ngày).</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11. Thông tin, liên lạc</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hệ thống cung cấp dịch vụ truyền hình cáp, điện thoại, internet tốc độ cao đến từng căn hộ.</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12. Phòng cháy chữa cháy</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hệ thống, thiết bị chữa cháy tự động khu vực công cộng.</w:t>
            </w:r>
          </w:p>
        </w:tc>
      </w:tr>
    </w:tbl>
    <w:p w:rsidR="00235D8B" w:rsidRPr="00235D8B" w:rsidRDefault="00235D8B" w:rsidP="00235D8B">
      <w:pPr>
        <w:shd w:val="clear" w:color="auto" w:fill="FFFFFF"/>
        <w:spacing w:before="120" w:after="120" w:line="234" w:lineRule="atLeast"/>
        <w:rPr>
          <w:color w:val="000000"/>
          <w:sz w:val="26"/>
          <w:szCs w:val="26"/>
        </w:rPr>
      </w:pPr>
      <w:r w:rsidRPr="00235D8B">
        <w:rPr>
          <w:b/>
          <w:bCs/>
          <w:color w:val="000000"/>
          <w:sz w:val="26"/>
          <w:szCs w:val="26"/>
          <w:lang w:val="vi-VN"/>
        </w:rPr>
        <w:t>III. Dịch vụ, Hạ tầng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13. Thương mại</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trung tâm thương mại hoặc siêu thị trong bán kính 1,5 km.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14. Thể thao</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01 trong các tiện ích phục vụ thể thao sau: phòng tập gym, bể bơi, sân tennis, sân thể thao khác... dành riêng, nằm trong công trình hoặc trong tổng thể quy hoạch hoặc trong bán kính 500 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15. Sân chơi</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sân chơi trẻ em và cư dân dành riêng hoặc trong tổng thể quy hoạch hoặc trong bán kính 500 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16. Y tế</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bệnh viện, phòng khám trong bán kính 1 km.</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17. Giáo dục</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trường mầm non, tiểu học trong bán kính 1 km.</w:t>
            </w:r>
          </w:p>
        </w:tc>
      </w:tr>
    </w:tbl>
    <w:p w:rsidR="00235D8B" w:rsidRPr="00235D8B" w:rsidRDefault="00235D8B" w:rsidP="00235D8B">
      <w:pPr>
        <w:shd w:val="clear" w:color="auto" w:fill="FFFFFF"/>
        <w:spacing w:before="120" w:after="120" w:line="234" w:lineRule="atLeast"/>
        <w:rPr>
          <w:color w:val="000000"/>
          <w:sz w:val="26"/>
          <w:szCs w:val="26"/>
        </w:rPr>
      </w:pPr>
      <w:r w:rsidRPr="00235D8B">
        <w:rPr>
          <w:b/>
          <w:bCs/>
          <w:color w:val="000000"/>
          <w:sz w:val="26"/>
          <w:szCs w:val="26"/>
          <w:lang w:val="vi-VN"/>
        </w:rPr>
        <w:t>IV. Chất lượng, quản lý, vận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18. Chất lượng</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Thang máy, đèn chiếu sáng công cộng, máy bơm, máy phát điện, thiết bị báo cháy, chữa cháy và các thiết bị khác (nếu có) như điều hòa, cấp gas, cấp nước nóng còn trong thời hạn bảo hành của nhà sản xuất hoặc đơn vị cung cấp thiết bị; trường hợp hết thời hạn bảo hành thì không quá 10 năm kể từ thời điểm hết thời hạn bảo hành và phải được kiểm định đảm bảo chất lượng, vận hành tốt.</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19. Quản lý, vận hành</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đơn vị quản lý, vận hành chuyên nghiệp.</w:t>
            </w:r>
          </w:p>
        </w:tc>
      </w:tr>
      <w:tr w:rsidR="00235D8B" w:rsidRPr="00235D8B" w:rsidTr="00235D8B">
        <w:trPr>
          <w:tblCellSpacing w:w="0" w:type="dxa"/>
        </w:trPr>
        <w:tc>
          <w:tcPr>
            <w:tcW w:w="26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20. Bảo vệ an ninh</w:t>
            </w:r>
          </w:p>
        </w:tc>
        <w:tc>
          <w:tcPr>
            <w:tcW w:w="6228" w:type="dxa"/>
            <w:shd w:val="clear" w:color="auto" w:fill="FFFFFF"/>
            <w:tcMar>
              <w:top w:w="0" w:type="dxa"/>
              <w:left w:w="108" w:type="dxa"/>
              <w:bottom w:w="0" w:type="dxa"/>
              <w:right w:w="108" w:type="dxa"/>
            </w:tcMar>
            <w:hideMark/>
          </w:tcPr>
          <w:p w:rsidR="00235D8B" w:rsidRPr="00235D8B" w:rsidRDefault="00235D8B" w:rsidP="00235D8B">
            <w:pPr>
              <w:spacing w:before="120" w:after="120" w:line="234" w:lineRule="atLeast"/>
              <w:rPr>
                <w:color w:val="000000"/>
                <w:sz w:val="26"/>
                <w:szCs w:val="26"/>
              </w:rPr>
            </w:pPr>
            <w:r w:rsidRPr="00235D8B">
              <w:rPr>
                <w:color w:val="000000"/>
                <w:sz w:val="26"/>
                <w:szCs w:val="26"/>
                <w:lang w:val="vi-VN"/>
              </w:rPr>
              <w:t>Có hệ thống camera kiểm soát trong bãi đỗ xe, sảnh, hành lang, cầu thang.</w:t>
            </w:r>
          </w:p>
        </w:tc>
      </w:tr>
    </w:tbl>
    <w:p w:rsidR="009318B8" w:rsidRPr="00235D8B" w:rsidRDefault="009318B8" w:rsidP="00235D8B">
      <w:pPr>
        <w:rPr>
          <w:sz w:val="26"/>
          <w:szCs w:val="26"/>
        </w:rPr>
      </w:pPr>
    </w:p>
    <w:sectPr w:rsidR="009318B8" w:rsidRPr="00235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84" w:rsidRDefault="00A34384" w:rsidP="00F01192">
      <w:r>
        <w:separator/>
      </w:r>
    </w:p>
  </w:endnote>
  <w:endnote w:type="continuationSeparator" w:id="0">
    <w:p w:rsidR="00A34384" w:rsidRDefault="00A34384" w:rsidP="00F0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84" w:rsidRDefault="00A34384" w:rsidP="00F01192">
      <w:r>
        <w:separator/>
      </w:r>
    </w:p>
  </w:footnote>
  <w:footnote w:type="continuationSeparator" w:id="0">
    <w:p w:rsidR="00A34384" w:rsidRDefault="00A34384" w:rsidP="00F0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2"/>
    <w:rsid w:val="00235D8B"/>
    <w:rsid w:val="009318B8"/>
    <w:rsid w:val="00982D35"/>
    <w:rsid w:val="009932CE"/>
    <w:rsid w:val="00A34384"/>
    <w:rsid w:val="00D82BC4"/>
    <w:rsid w:val="00F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257F-05B2-468C-BC25-F58FADE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01192"/>
    <w:rPr>
      <w:sz w:val="20"/>
      <w:szCs w:val="20"/>
    </w:rPr>
  </w:style>
  <w:style w:type="character" w:customStyle="1" w:styleId="FootnoteTextChar">
    <w:name w:val="Footnote Text Char"/>
    <w:basedOn w:val="DefaultParagraphFont"/>
    <w:uiPriority w:val="99"/>
    <w:semiHidden/>
    <w:rsid w:val="00F0119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F01192"/>
    <w:rPr>
      <w:rFonts w:ascii="Times New Roman" w:eastAsia="Times New Roman" w:hAnsi="Times New Roman" w:cs="Times New Roman"/>
      <w:sz w:val="20"/>
      <w:szCs w:val="20"/>
    </w:rPr>
  </w:style>
  <w:style w:type="character" w:styleId="FootnoteReference">
    <w:name w:val="footnote reference"/>
    <w:rsid w:val="00F01192"/>
    <w:rPr>
      <w:vertAlign w:val="superscript"/>
    </w:rPr>
  </w:style>
  <w:style w:type="paragraph" w:customStyle="1" w:styleId="19">
    <w:name w:val="19"/>
    <w:basedOn w:val="Normal"/>
    <w:semiHidden/>
    <w:rsid w:val="00F01192"/>
    <w:pPr>
      <w:spacing w:after="160" w:line="240" w:lineRule="exact"/>
    </w:pPr>
    <w:rPr>
      <w:rFonts w:ascii="Arial" w:hAnsi="Arial" w:cs="Arial"/>
      <w:sz w:val="22"/>
      <w:szCs w:val="22"/>
    </w:rPr>
  </w:style>
  <w:style w:type="paragraph" w:styleId="NormalWeb">
    <w:name w:val="Normal (Web)"/>
    <w:basedOn w:val="Normal"/>
    <w:uiPriority w:val="99"/>
    <w:semiHidden/>
    <w:unhideWhenUsed/>
    <w:rsid w:val="00982D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4030">
      <w:bodyDiv w:val="1"/>
      <w:marLeft w:val="0"/>
      <w:marRight w:val="0"/>
      <w:marTop w:val="0"/>
      <w:marBottom w:val="0"/>
      <w:divBdr>
        <w:top w:val="none" w:sz="0" w:space="0" w:color="auto"/>
        <w:left w:val="none" w:sz="0" w:space="0" w:color="auto"/>
        <w:bottom w:val="none" w:sz="0" w:space="0" w:color="auto"/>
        <w:right w:val="none" w:sz="0" w:space="0" w:color="auto"/>
      </w:divBdr>
    </w:div>
    <w:div w:id="527452916">
      <w:bodyDiv w:val="1"/>
      <w:marLeft w:val="0"/>
      <w:marRight w:val="0"/>
      <w:marTop w:val="0"/>
      <w:marBottom w:val="0"/>
      <w:divBdr>
        <w:top w:val="none" w:sz="0" w:space="0" w:color="auto"/>
        <w:left w:val="none" w:sz="0" w:space="0" w:color="auto"/>
        <w:bottom w:val="none" w:sz="0" w:space="0" w:color="auto"/>
        <w:right w:val="none" w:sz="0" w:space="0" w:color="auto"/>
      </w:divBdr>
    </w:div>
    <w:div w:id="10150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PC</cp:lastModifiedBy>
  <cp:revision>2</cp:revision>
  <dcterms:created xsi:type="dcterms:W3CDTF">2024-06-14T07:10:00Z</dcterms:created>
  <dcterms:modified xsi:type="dcterms:W3CDTF">2024-06-14T07:10:00Z</dcterms:modified>
</cp:coreProperties>
</file>