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531" w:type="dxa"/>
        <w:jc w:val="left"/>
        <w:tblInd w:w="-351" w:type="dxa"/>
        <w:tblLayout w:type="fixed"/>
        <w:tblCellMar>
          <w:top w:w="0" w:type="dxa"/>
          <w:left w:w="108" w:type="dxa"/>
          <w:bottom w:w="0" w:type="dxa"/>
          <w:right w:w="108" w:type="dxa"/>
        </w:tblCellMar>
        <w:tblLook w:val="01e0" w:firstRow="1" w:noVBand="0" w:lastRow="1" w:firstColumn="1" w:lastColumn="1" w:noHBand="0"/>
      </w:tblPr>
      <w:tblGrid>
        <w:gridCol w:w="3719"/>
        <w:gridCol w:w="5812"/>
      </w:tblGrid>
      <w:tr>
        <w:trPr>
          <w:trHeight w:val="1239" w:hRule="atLeast"/>
        </w:trPr>
        <w:tc>
          <w:tcPr>
            <w:tcW w:w="3719" w:type="dxa"/>
            <w:tcBorders/>
          </w:tcPr>
          <w:p>
            <w:pPr>
              <w:pStyle w:val="Normal"/>
              <w:keepNext w:val="true"/>
              <w:numPr>
                <w:ilvl w:val="0"/>
                <w:numId w:val="0"/>
              </w:numPr>
              <w:tabs>
                <w:tab w:val="clear" w:pos="720"/>
                <w:tab w:val="left" w:pos="8902" w:leader="dot"/>
              </w:tabs>
              <w:spacing w:lineRule="atLeast" w:line="340" w:before="0" w:after="0"/>
              <w:jc w:val="center"/>
              <w:outlineLvl w:val="6"/>
              <w:rPr>
                <w:rFonts w:eastAsia="Times New Roman"/>
                <w:b/>
                <w:spacing w:val="-4"/>
                <w:sz w:val="2"/>
                <w:szCs w:val="26"/>
              </w:rPr>
            </w:pPr>
            <w:r>
              <w:rPr>
                <w:rFonts w:eastAsia="Times New Roman"/>
                <w:b/>
                <w:spacing w:val="-4"/>
                <w:sz w:val="2"/>
                <w:szCs w:val="26"/>
              </w:rPr>
            </w:r>
          </w:p>
          <w:p>
            <w:pPr>
              <w:pStyle w:val="Normal"/>
              <w:keepNext w:val="true"/>
              <w:numPr>
                <w:ilvl w:val="0"/>
                <w:numId w:val="0"/>
              </w:numPr>
              <w:tabs>
                <w:tab w:val="clear" w:pos="720"/>
                <w:tab w:val="left" w:pos="8902" w:leader="dot"/>
              </w:tabs>
              <w:spacing w:lineRule="atLeast" w:line="340" w:before="0" w:after="0"/>
              <w:jc w:val="center"/>
              <w:outlineLvl w:val="6"/>
              <w:rPr>
                <w:rFonts w:eastAsia="Times New Roman"/>
                <w:b/>
                <w:spacing w:val="-4"/>
                <w:sz w:val="26"/>
                <w:szCs w:val="26"/>
              </w:rPr>
            </w:pPr>
            <w:r>
              <w:rPr>
                <w:rFonts w:eastAsia="Times New Roman"/>
                <w:b/>
                <w:spacing w:val="-4"/>
                <w:sz w:val="26"/>
                <w:szCs w:val="26"/>
              </w:rPr>
              <w:t>QUỐC HỘI</w:t>
            </w:r>
          </w:p>
          <w:p>
            <w:pPr>
              <w:pStyle w:val="Normal"/>
              <w:keepNext w:val="true"/>
              <w:numPr>
                <w:ilvl w:val="0"/>
                <w:numId w:val="0"/>
              </w:numPr>
              <w:tabs>
                <w:tab w:val="clear" w:pos="720"/>
                <w:tab w:val="left" w:pos="8902" w:leader="dot"/>
              </w:tabs>
              <w:spacing w:lineRule="atLeast" w:line="340" w:before="0" w:after="0"/>
              <w:jc w:val="center"/>
              <w:outlineLvl w:val="6"/>
              <w:rPr>
                <w:rFonts w:eastAsia="Times New Roman"/>
                <w:b/>
                <w:spacing w:val="-4"/>
                <w:sz w:val="26"/>
                <w:szCs w:val="26"/>
                <w:vertAlign w:val="superscript"/>
              </w:rPr>
            </w:pPr>
            <w:r>
              <w:rPr>
                <w:rFonts w:eastAsia="Times New Roman"/>
                <w:b/>
                <w:spacing w:val="-4"/>
                <w:sz w:val="26"/>
                <w:szCs w:val="26"/>
                <w:vertAlign w:val="superscript"/>
              </w:rPr>
              <w:t>______</w:t>
            </w:r>
          </w:p>
          <w:p>
            <w:pPr>
              <w:pStyle w:val="Normal"/>
              <w:tabs>
                <w:tab w:val="clear" w:pos="720"/>
                <w:tab w:val="left" w:pos="8902" w:leader="dot"/>
              </w:tabs>
              <w:spacing w:lineRule="atLeast" w:line="340" w:before="0" w:after="0"/>
              <w:jc w:val="center"/>
              <w:rPr>
                <w:rFonts w:eastAsia="Times New Roman"/>
                <w:bCs/>
                <w:szCs w:val="28"/>
              </w:rPr>
            </w:pPr>
            <w:r>
              <w:rPr>
                <w:rFonts w:eastAsia="Times New Roman"/>
                <w:bCs/>
                <w:sz w:val="26"/>
                <w:szCs w:val="28"/>
              </w:rPr>
              <w:t>Luật số:</w:t>
            </w:r>
            <w:r>
              <w:rPr>
                <w:rFonts w:eastAsia="Times New Roman"/>
                <w:bCs/>
                <w:sz w:val="26"/>
                <w:szCs w:val="28"/>
                <w:lang w:val="vi-VN"/>
              </w:rPr>
              <w:t>...</w:t>
            </w:r>
            <w:r>
              <w:rPr>
                <w:rFonts w:eastAsia="Times New Roman"/>
                <w:bCs/>
                <w:sz w:val="26"/>
                <w:szCs w:val="28"/>
              </w:rPr>
              <w:t>/2026/QH16</w:t>
            </w:r>
          </w:p>
          <w:p>
            <w:pPr>
              <w:pStyle w:val="Normal"/>
              <w:tabs>
                <w:tab w:val="clear" w:pos="720"/>
                <w:tab w:val="left" w:pos="8902" w:leader="dot"/>
              </w:tabs>
              <w:spacing w:lineRule="atLeast" w:line="340" w:before="0" w:after="0"/>
              <w:jc w:val="both"/>
              <w:rPr>
                <w:rFonts w:eastAsia="Times New Roman"/>
                <w:b/>
                <w:bCs/>
                <w:szCs w:val="28"/>
              </w:rPr>
            </w:pPr>
            <w:r>
              <w:rPr>
                <w:rFonts w:eastAsia="Times New Roman"/>
                <w:b/>
                <w:bCs/>
                <w:szCs w:val="28"/>
              </w:rPr>
            </w:r>
          </w:p>
        </w:tc>
        <w:tc>
          <w:tcPr>
            <w:tcW w:w="5812" w:type="dxa"/>
            <w:tcBorders/>
          </w:tcPr>
          <w:p>
            <w:pPr>
              <w:pStyle w:val="Normal"/>
              <w:keepNext w:val="true"/>
              <w:numPr>
                <w:ilvl w:val="0"/>
                <w:numId w:val="0"/>
              </w:numPr>
              <w:tabs>
                <w:tab w:val="clear" w:pos="720"/>
                <w:tab w:val="left" w:pos="8902" w:leader="dot"/>
              </w:tabs>
              <w:spacing w:lineRule="atLeast" w:line="340" w:before="0" w:after="0"/>
              <w:jc w:val="center"/>
              <w:outlineLvl w:val="6"/>
              <w:rPr>
                <w:rFonts w:eastAsia="Times New Roman"/>
                <w:b/>
                <w:sz w:val="14"/>
                <w:szCs w:val="26"/>
              </w:rPr>
            </w:pPr>
            <w:r>
              <w:rPr>
                <w:rFonts w:eastAsia="Times New Roman"/>
                <w:b/>
                <w:sz w:val="14"/>
                <w:szCs w:val="26"/>
              </w:rPr>
            </w:r>
          </w:p>
          <w:p>
            <w:pPr>
              <w:pStyle w:val="Normal"/>
              <w:keepNext w:val="true"/>
              <w:numPr>
                <w:ilvl w:val="0"/>
                <w:numId w:val="0"/>
              </w:numPr>
              <w:tabs>
                <w:tab w:val="clear" w:pos="720"/>
                <w:tab w:val="left" w:pos="8902" w:leader="dot"/>
              </w:tabs>
              <w:spacing w:lineRule="atLeast" w:line="340" w:before="0" w:after="0"/>
              <w:jc w:val="center"/>
              <w:outlineLvl w:val="6"/>
              <w:rPr>
                <w:rFonts w:eastAsia="Times New Roman"/>
                <w:b/>
                <w:sz w:val="26"/>
                <w:szCs w:val="26"/>
              </w:rPr>
            </w:pPr>
            <w:r>
              <w:rPr>
                <w:rFonts w:eastAsia="Times New Roman"/>
                <w:b/>
                <w:sz w:val="26"/>
                <w:szCs w:val="26"/>
              </w:rPr>
              <w:t>CỘNG HÒA XÃ HỘI CHỦ NGHĨA VIỆT NAM</w:t>
            </w:r>
          </w:p>
          <w:p>
            <w:pPr>
              <w:pStyle w:val="Normal"/>
              <w:tabs>
                <w:tab w:val="clear" w:pos="720"/>
                <w:tab w:val="left" w:pos="8902" w:leader="dot"/>
              </w:tabs>
              <w:spacing w:lineRule="atLeast" w:line="340" w:before="0" w:after="0"/>
              <w:jc w:val="center"/>
              <w:rPr>
                <w:rFonts w:eastAsia="Times New Roman"/>
                <w:b/>
                <w:bCs/>
                <w:szCs w:val="28"/>
              </w:rPr>
            </w:pPr>
            <w:r>
              <w:rPr>
                <w:rFonts w:eastAsia="Times New Roman"/>
                <w:b/>
                <w:bCs/>
                <w:szCs w:val="28"/>
              </w:rPr>
              <w:t>Độc lập - Tự do - Hạnh phúc</w:t>
            </w:r>
          </w:p>
          <w:p>
            <w:pPr>
              <w:pStyle w:val="Normal"/>
              <w:tabs>
                <w:tab w:val="clear" w:pos="720"/>
                <w:tab w:val="left" w:pos="8902" w:leader="dot"/>
              </w:tabs>
              <w:spacing w:lineRule="atLeast" w:line="340" w:before="0" w:after="0"/>
              <w:jc w:val="center"/>
              <w:rPr>
                <w:rFonts w:eastAsia="Times New Roman"/>
                <w:bCs/>
                <w:szCs w:val="28"/>
                <w:vertAlign w:val="superscript"/>
              </w:rPr>
            </w:pPr>
            <w:r>
              <w:rPr>
                <w:rFonts w:eastAsia="Times New Roman"/>
                <w:bCs/>
                <w:szCs w:val="28"/>
                <w:vertAlign w:val="superscript"/>
              </w:rPr>
              <w:t>_______________________________________</w:t>
            </w:r>
          </w:p>
        </w:tc>
      </w:tr>
    </w:tbl>
    <w:p>
      <w:pPr>
        <w:pStyle w:val="Normal"/>
        <w:keepNext w:val="true"/>
        <w:numPr>
          <w:ilvl w:val="0"/>
          <w:numId w:val="0"/>
        </w:numPr>
        <w:tabs>
          <w:tab w:val="clear" w:pos="720"/>
          <w:tab w:val="left" w:pos="8902" w:leader="dot"/>
        </w:tabs>
        <w:spacing w:lineRule="atLeast" w:line="340" w:before="0" w:after="0"/>
        <w:jc w:val="center"/>
        <w:outlineLvl w:val="0"/>
        <w:rPr>
          <w:rFonts w:eastAsia="Times New Roman"/>
          <w:b/>
          <w:szCs w:val="28"/>
        </w:rPr>
      </w:pPr>
      <w:r>
        <w:rPr>
          <w:rFonts w:eastAsia="Times New Roman"/>
          <w:b/>
          <w:szCs w:val="28"/>
        </w:rPr>
        <w:t>LUẬT</w:t>
      </w:r>
    </w:p>
    <w:p>
      <w:pPr>
        <w:pStyle w:val="Normal"/>
        <w:numPr>
          <w:ilvl w:val="0"/>
          <w:numId w:val="0"/>
        </w:numPr>
        <w:tabs>
          <w:tab w:val="clear" w:pos="720"/>
          <w:tab w:val="left" w:pos="8902" w:leader="dot"/>
        </w:tabs>
        <w:spacing w:lineRule="atLeast" w:line="340" w:before="0" w:after="0"/>
        <w:jc w:val="center"/>
        <w:outlineLvl w:val="0"/>
        <w:rPr>
          <w:b/>
          <w:szCs w:val="28"/>
        </w:rPr>
      </w:pPr>
      <w:r>
        <w:rPr>
          <w:b/>
          <w:szCs w:val="28"/>
        </w:rPr>
        <w:t xml:space="preserve">SỬA ĐỔI, BỔ SUNG MỘT SỐ ĐIỀU </w:t>
      </w:r>
    </w:p>
    <w:p>
      <w:pPr>
        <w:pStyle w:val="Normal"/>
        <w:numPr>
          <w:ilvl w:val="0"/>
          <w:numId w:val="0"/>
        </w:numPr>
        <w:tabs>
          <w:tab w:val="clear" w:pos="720"/>
          <w:tab w:val="left" w:pos="8902" w:leader="dot"/>
        </w:tabs>
        <w:spacing w:lineRule="atLeast" w:line="340" w:before="0" w:after="0"/>
        <w:jc w:val="center"/>
        <w:outlineLvl w:val="0"/>
        <w:rPr>
          <w:b/>
        </w:rPr>
      </w:pPr>
      <w:r>
        <w:rPr>
          <w:b/>
          <w:szCs w:val="28"/>
        </w:rPr>
        <w:t>CỦA LUẬT TRỌNG TÀI THƯƠNG MẠI</w:t>
      </w:r>
    </w:p>
    <w:p>
      <w:pPr>
        <w:pStyle w:val="Normal"/>
        <w:numPr>
          <w:ilvl w:val="0"/>
          <w:numId w:val="0"/>
        </w:numPr>
        <w:tabs>
          <w:tab w:val="clear" w:pos="720"/>
          <w:tab w:val="left" w:pos="8902" w:leader="dot"/>
        </w:tabs>
        <w:spacing w:lineRule="atLeast" w:line="340" w:before="120" w:after="120"/>
        <w:ind w:firstLine="567"/>
        <w:jc w:val="both"/>
        <w:outlineLvl w:val="0"/>
        <w:rPr>
          <w:rFonts w:eastAsia="Times New Roman"/>
          <w:bCs/>
          <w:i/>
          <w:szCs w:val="28"/>
        </w:rPr>
      </w:pPr>
      <w:r>
        <w:rPr>
          <w:rFonts w:eastAsia="Times New Roman"/>
          <w:bCs/>
          <w:i/>
          <w:szCs w:val="28"/>
        </w:rPr>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bCs/>
          <w:i/>
          <w:szCs w:val="28"/>
        </w:rPr>
      </w:pPr>
      <w:r>
        <w:rPr>
          <w:rFonts w:eastAsia="Times New Roman"/>
          <w:i/>
          <w:iCs/>
          <w:spacing w:val="-4"/>
          <w:szCs w:val="28"/>
        </w:rPr>
        <w:t>Căn cứ Hiến pháp nước Cộng hòa xã hội chủ nghĩa Việt Nam đã được sửa đổi,</w:t>
      </w:r>
      <w:r>
        <w:rPr>
          <w:rFonts w:eastAsia="Times New Roman"/>
          <w:i/>
          <w:iCs/>
          <w:szCs w:val="28"/>
        </w:rPr>
        <w:t xml:space="preserve"> bổ sung một số điều theo Nghị quyết số 203/2025/QH15</w:t>
      </w:r>
      <w:r>
        <w:rPr>
          <w:rFonts w:eastAsia="Times New Roman"/>
          <w:bCs/>
          <w:i/>
          <w:szCs w:val="28"/>
        </w:rPr>
        <w:t>;</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bCs/>
          <w:spacing w:val="-10"/>
          <w:szCs w:val="28"/>
        </w:rPr>
      </w:pPr>
      <w:r>
        <w:rPr>
          <w:rFonts w:eastAsia="Times New Roman"/>
          <w:bCs/>
          <w:i/>
          <w:spacing w:val="-10"/>
          <w:szCs w:val="28"/>
        </w:rPr>
        <w:t>Quốc hội ban hành Luật sửa đổi, bổ sung một số điều của Luật Trọng tài thương mại</w:t>
      </w:r>
      <w:r>
        <w:rPr>
          <w:rFonts w:eastAsia="Times New Roman"/>
          <w:bCs/>
          <w:spacing w:val="-10"/>
          <w:szCs w:val="28"/>
        </w:rPr>
        <w:t>.</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bCs/>
          <w:i/>
          <w:szCs w:val="28"/>
        </w:rPr>
      </w:pPr>
      <w:r>
        <w:rPr>
          <w:rFonts w:eastAsia="Times New Roman"/>
          <w:bCs/>
          <w:i/>
          <w:szCs w:val="28"/>
        </w:rPr>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bCs/>
          <w:szCs w:val="28"/>
        </w:rPr>
      </w:pPr>
      <w:r>
        <w:rPr>
          <w:rFonts w:eastAsia="Times New Roman"/>
          <w:b/>
          <w:bCs/>
          <w:szCs w:val="28"/>
        </w:rPr>
        <w:t>Điều 1. Sửa đổi, bổ sung một số điều của Luật Trọng tài thương mại</w:t>
      </w:r>
      <w:r>
        <w:rPr>
          <w:rFonts w:eastAsia="Times New Roman"/>
          <w:bCs/>
          <w:szCs w:val="28"/>
        </w:rPr>
        <w:t>:</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bCs/>
          <w:iCs/>
          <w:szCs w:val="28"/>
        </w:rPr>
      </w:pPr>
      <w:r>
        <w:rPr>
          <w:rFonts w:eastAsia="Times New Roman"/>
          <w:bCs/>
          <w:szCs w:val="28"/>
          <w:highlight w:val="yellow"/>
        </w:rPr>
        <w:t xml:space="preserve">1. </w:t>
      </w:r>
      <w:r>
        <w:rPr>
          <w:rFonts w:eastAsia="Times New Roman"/>
          <w:bCs/>
          <w:iCs/>
          <w:szCs w:val="28"/>
          <w:highlight w:val="yellow"/>
        </w:rPr>
        <w:t>Sửa đổi, bổ sung khoản 4 Điều 15 như sau:</w:t>
      </w:r>
    </w:p>
    <w:p>
      <w:pPr>
        <w:pStyle w:val="Normal"/>
        <w:numPr>
          <w:ilvl w:val="0"/>
          <w:numId w:val="0"/>
        </w:numPr>
        <w:tabs>
          <w:tab w:val="clear" w:pos="720"/>
          <w:tab w:val="left" w:pos="8902" w:leader="dot"/>
        </w:tabs>
        <w:spacing w:lineRule="exact" w:line="400" w:before="120" w:after="120"/>
        <w:ind w:firstLine="567" w:left="-110"/>
        <w:jc w:val="both"/>
        <w:outlineLvl w:val="0"/>
        <w:rPr/>
      </w:pPr>
      <w:r>
        <w:rPr/>
        <w:t>“</w:t>
      </w:r>
      <w:r>
        <w:rPr/>
        <w:t xml:space="preserve">4. Sở Tư pháp tỉnh, thành phố trực thuộc trung ương giúp </w:t>
      </w:r>
      <w:r>
        <w:rPr>
          <w:i/>
          <w:iCs/>
        </w:rPr>
        <w:t>Chủ tịch Ủy ban nhân dân cùng cấp</w:t>
      </w:r>
      <w:r>
        <w:rPr/>
        <w:t xml:space="preserve"> thực hiện một số nhiệm vụ theo quy định của Chính phủ và quy định tại Luật này.”.</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bCs/>
          <w:szCs w:val="28"/>
        </w:rPr>
      </w:pPr>
      <w:r>
        <w:rPr>
          <w:rFonts w:eastAsia="Times New Roman"/>
          <w:bCs/>
          <w:szCs w:val="28"/>
          <w:highlight w:val="yellow"/>
        </w:rPr>
        <w:t>2. Sửa đổi, bổ sung Điều 24 như sau:</w:t>
      </w:r>
    </w:p>
    <w:p>
      <w:pPr>
        <w:pStyle w:val="Normal"/>
        <w:spacing w:lineRule="exact" w:line="400" w:before="120" w:after="120"/>
        <w:ind w:firstLine="457"/>
        <w:jc w:val="both"/>
        <w:rPr>
          <w:b/>
          <w:bCs/>
        </w:rPr>
      </w:pPr>
      <w:r>
        <w:rPr>
          <w:rFonts w:eastAsia="Times New Roman"/>
          <w:bCs/>
          <w:szCs w:val="28"/>
        </w:rPr>
        <w:t>“</w:t>
      </w:r>
      <w:r>
        <w:rPr>
          <w:rFonts w:eastAsia="Times New Roman"/>
          <w:b/>
          <w:bCs/>
          <w:szCs w:val="28"/>
        </w:rPr>
        <w:t xml:space="preserve">Điều 24. </w:t>
      </w:r>
      <w:r>
        <w:rPr>
          <w:b/>
          <w:bCs/>
        </w:rPr>
        <w:t>Điều kiện và thủ tục thành lập Trung tâm trọng tài</w:t>
      </w:r>
    </w:p>
    <w:p>
      <w:pPr>
        <w:pStyle w:val="Normal"/>
        <w:spacing w:lineRule="exact" w:line="400" w:before="120" w:after="120"/>
        <w:ind w:firstLine="457"/>
        <w:jc w:val="both"/>
        <w:rPr/>
      </w:pPr>
      <w:r>
        <w:rPr/>
        <w:t xml:space="preserve">1. Trung tâm trọng tài được thành lập khi có ít nhất năm sáng lập viên là công dân Việt Nam có đủ điều kiện là Trọng tài viên quy định tại </w:t>
      </w:r>
      <w:bookmarkStart w:id="0" w:name="tc_3"/>
      <w:r>
        <w:rPr/>
        <w:t>Điều 20 của Luật này</w:t>
      </w:r>
      <w:bookmarkEnd w:id="0"/>
      <w:r>
        <w:rPr/>
        <w:t xml:space="preserve"> đề nghị thành lập và được </w:t>
      </w:r>
      <w:r>
        <w:rPr>
          <w:i/>
          <w:iCs/>
        </w:rPr>
        <w:t>Chủ tịch Uỷ ban nhân dân cấp tỉnh</w:t>
      </w:r>
      <w:r>
        <w:rPr/>
        <w:t xml:space="preserve"> cấp Giấy phép thành lập.</w:t>
      </w:r>
    </w:p>
    <w:p>
      <w:pPr>
        <w:pStyle w:val="Normal"/>
        <w:spacing w:lineRule="exact" w:line="400" w:before="120" w:after="120"/>
        <w:ind w:firstLine="457"/>
        <w:jc w:val="both"/>
        <w:rPr/>
      </w:pPr>
      <w:r>
        <w:rPr/>
        <w:t>2. Hồ sơ đề nghị thành lập Trung tâm trọng tài gồm:</w:t>
      </w:r>
    </w:p>
    <w:p>
      <w:pPr>
        <w:pStyle w:val="Normal"/>
        <w:spacing w:lineRule="exact" w:line="400" w:before="120" w:after="120"/>
        <w:ind w:firstLine="457"/>
        <w:jc w:val="both"/>
        <w:rPr>
          <w:i/>
          <w:iCs/>
        </w:rPr>
      </w:pPr>
      <w:r>
        <w:rPr/>
        <w:t xml:space="preserve">a) </w:t>
      </w:r>
      <w:r>
        <w:rPr>
          <w:i/>
          <w:iCs/>
        </w:rPr>
        <w:t>Văn bản</w:t>
      </w:r>
      <w:r>
        <w:rPr/>
        <w:t xml:space="preserve"> đề nghị thành lập</w:t>
      </w:r>
      <w:r>
        <w:rPr>
          <w:i/>
          <w:iCs/>
        </w:rPr>
        <w:t>;</w:t>
      </w:r>
    </w:p>
    <w:p>
      <w:pPr>
        <w:pStyle w:val="Normal"/>
        <w:spacing w:lineRule="exact" w:line="400" w:before="120" w:after="120"/>
        <w:ind w:firstLine="457"/>
        <w:jc w:val="both"/>
        <w:rPr/>
      </w:pPr>
      <w:r>
        <w:rPr/>
        <w:t>b) Dự thảo điều lệ của Trung tâm trọng tài theo mẫu do Bộ Tư pháp ban hành;</w:t>
      </w:r>
    </w:p>
    <w:p>
      <w:pPr>
        <w:pStyle w:val="Normal"/>
        <w:spacing w:lineRule="exact" w:line="400" w:before="120" w:after="120"/>
        <w:ind w:firstLine="457"/>
        <w:jc w:val="both"/>
        <w:rPr/>
      </w:pPr>
      <w:r>
        <w:rPr/>
        <w:t xml:space="preserve">c) Danh sách các sáng lập viên và </w:t>
      </w:r>
      <w:r>
        <w:rPr>
          <w:i/>
          <w:iCs/>
        </w:rPr>
        <w:t>bản sao</w:t>
      </w:r>
      <w:r>
        <w:rPr/>
        <w:t xml:space="preserve"> </w:t>
      </w:r>
      <w:r>
        <w:rPr>
          <w:i/>
          <w:iCs/>
        </w:rPr>
        <w:t>có chứng thực hoặc bản sao kèm theo bản chính để đối chiếu hoặc bản sao điện tử</w:t>
      </w:r>
      <w:r>
        <w:rPr/>
        <w:t xml:space="preserve"> các giấy tờ kèm theo chứng minh những người này có đủ điều kiện quy định tại </w:t>
      </w:r>
      <w:bookmarkStart w:id="1" w:name="tc_4"/>
      <w:r>
        <w:rPr/>
        <w:t>Điều 20 của Luật này</w:t>
      </w:r>
      <w:bookmarkEnd w:id="1"/>
      <w:r>
        <w:rPr/>
        <w:t>.</w:t>
      </w:r>
    </w:p>
    <w:p>
      <w:pPr>
        <w:pStyle w:val="Normal"/>
        <w:spacing w:lineRule="exact" w:line="400" w:before="120" w:after="120"/>
        <w:ind w:firstLine="457"/>
        <w:jc w:val="both"/>
        <w:rPr>
          <w:i/>
          <w:iCs/>
        </w:rPr>
      </w:pPr>
      <w:r>
        <w:rPr>
          <w:i/>
          <w:iCs/>
        </w:rPr>
        <w:t>3. Hồ sơ đề nghị thành lập Trung tâm trọng tài được gửi trực tiếp hoặc qua dịch vụ bưu chính đến Sở Tư pháp nơi Trung tâm trọng tài đặt trụ sở hoặc trực tuyến trên Cổng dịch vụ công quốc gia.</w:t>
      </w:r>
    </w:p>
    <w:p>
      <w:pPr>
        <w:pStyle w:val="Normal"/>
        <w:spacing w:lineRule="exact" w:line="400" w:before="120" w:after="120"/>
        <w:ind w:firstLine="457"/>
        <w:jc w:val="both"/>
        <w:rPr/>
      </w:pPr>
      <w:r>
        <w:rPr>
          <w:i/>
          <w:iCs/>
        </w:rPr>
        <w:t>4.</w:t>
      </w:r>
      <w:r>
        <w:rPr/>
        <w:t xml:space="preserve"> Trong thời hạn </w:t>
      </w:r>
      <w:r>
        <w:rPr>
          <w:i/>
          <w:iCs/>
        </w:rPr>
        <w:t>20</w:t>
      </w:r>
      <w:r>
        <w:rPr/>
        <w:t xml:space="preserve"> ngày </w:t>
      </w:r>
      <w:r>
        <w:rPr>
          <w:i/>
          <w:iCs/>
        </w:rPr>
        <w:t>làm việc</w:t>
      </w:r>
      <w:r>
        <w:rPr/>
        <w:t xml:space="preserve">, kể từ ngày nhận được hồ sơ hợp lệ, </w:t>
      </w:r>
      <w:r>
        <w:rPr>
          <w:i/>
          <w:iCs/>
        </w:rPr>
        <w:t>Sở Tư pháp thẩm định</w:t>
      </w:r>
      <w:r>
        <w:rPr/>
        <w:t xml:space="preserve"> hồ sơ, </w:t>
      </w:r>
      <w:r>
        <w:rPr>
          <w:i/>
          <w:iCs/>
        </w:rPr>
        <w:t>trình</w:t>
      </w:r>
      <w:r>
        <w:rPr/>
        <w:t xml:space="preserve"> </w:t>
      </w:r>
      <w:r>
        <w:rPr>
          <w:i/>
          <w:iCs/>
        </w:rPr>
        <w:t>Chủ tịch Ủy ban nhân dân cấp tỉnh</w:t>
      </w:r>
      <w:r>
        <w:rPr/>
        <w:t xml:space="preserve"> </w:t>
      </w:r>
      <w:r>
        <w:rPr>
          <w:i/>
          <w:iCs/>
        </w:rPr>
        <w:t>xem xét,</w:t>
      </w:r>
      <w:r>
        <w:rPr/>
        <w:t xml:space="preserve"> cấp Giấy phép thành lập Trung tâm trọng tài và phê chuẩn điều lệ của Trung tâm trọng tài; trường hợp từ chối phải thông báo bằng văn bản và nêu rõ lý do.”.</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bCs/>
          <w:szCs w:val="28"/>
        </w:rPr>
      </w:pPr>
      <w:r>
        <w:rPr>
          <w:rFonts w:eastAsia="Times New Roman"/>
          <w:szCs w:val="28"/>
          <w:highlight w:val="yellow"/>
        </w:rPr>
        <w:t xml:space="preserve">3.  </w:t>
      </w:r>
      <w:r>
        <w:rPr>
          <w:rFonts w:eastAsia="Times New Roman"/>
          <w:bCs/>
          <w:szCs w:val="28"/>
          <w:highlight w:val="yellow"/>
        </w:rPr>
        <w:t>Sửa đổi, bổ sung Điều 25 như sau:</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szCs w:val="28"/>
        </w:rPr>
      </w:pPr>
      <w:bookmarkStart w:id="2" w:name="dieu_25"/>
      <w:r>
        <w:rPr>
          <w:rFonts w:eastAsia="Times New Roman"/>
          <w:b/>
          <w:bCs/>
          <w:szCs w:val="28"/>
        </w:rPr>
        <w:t>“</w:t>
      </w:r>
      <w:r>
        <w:rPr>
          <w:rFonts w:eastAsia="Times New Roman"/>
          <w:b/>
          <w:bCs/>
          <w:szCs w:val="28"/>
        </w:rPr>
        <w:t>Điều 25. Đăng ký hoạt động của Trung tâm trọng tài</w:t>
      </w:r>
      <w:bookmarkEnd w:id="2"/>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i/>
          <w:iCs/>
          <w:szCs w:val="28"/>
        </w:rPr>
      </w:pPr>
      <w:r>
        <w:rPr>
          <w:rFonts w:eastAsia="Times New Roman"/>
          <w:i/>
          <w:iCs/>
          <w:szCs w:val="28"/>
        </w:rPr>
        <w:t>1. Trong thời hạn 05 ngày làm việc, kể từ ngày được Chủ tịch Ủy ban nhân dân cấp tỉnh cấp Giấy phép thành lập Trung tâm trọng tài và phê chuẩn điều lệ của Trung tâm trọng tài, Sở Tư pháp cấp Giấy đăng ký hoạt động cho Trung tâm trọng tài.</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i/>
          <w:iCs/>
          <w:szCs w:val="28"/>
        </w:rPr>
      </w:pPr>
      <w:r>
        <w:rPr>
          <w:rFonts w:eastAsia="Times New Roman"/>
          <w:i/>
          <w:iCs/>
          <w:szCs w:val="28"/>
        </w:rPr>
        <w:t>Người yêu cầu nhận kết quả tại Sở Tư pháp nơi mình nộp hồ sơ hoặc qua dịch vụ bưu chính, trừ trường hợp pháp luật có quy định khác.</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i/>
          <w:iCs/>
          <w:szCs w:val="28"/>
        </w:rPr>
      </w:pPr>
      <w:r>
        <w:rPr>
          <w:rFonts w:eastAsia="Times New Roman"/>
          <w:i/>
          <w:iCs/>
          <w:szCs w:val="28"/>
        </w:rPr>
        <w:t xml:space="preserve">2. Sau khi được cấp Giấy đăng ký hoạt động, Trung tâm trọng tài thực hiện việc công bố thành lập theo quy định tại </w:t>
      </w:r>
      <w:bookmarkStart w:id="3" w:name="dc_84"/>
      <w:r>
        <w:rPr>
          <w:rFonts w:eastAsia="Times New Roman"/>
          <w:i/>
          <w:iCs/>
          <w:szCs w:val="28"/>
        </w:rPr>
        <w:t xml:space="preserve">Điều 26 của Luật </w:t>
      </w:r>
      <w:bookmarkEnd w:id="3"/>
      <w:r>
        <w:rPr>
          <w:rFonts w:eastAsia="Times New Roman"/>
          <w:i/>
          <w:iCs/>
          <w:szCs w:val="28"/>
        </w:rPr>
        <w:t>này và khắc con dấu theo quy định của pháp luật.”.</w:t>
      </w:r>
    </w:p>
    <w:p>
      <w:pPr>
        <w:pStyle w:val="Normal"/>
        <w:spacing w:lineRule="exact" w:line="400" w:before="120" w:after="120"/>
        <w:ind w:firstLine="457"/>
        <w:rPr>
          <w:bCs/>
          <w:lang w:val="vi-VN"/>
        </w:rPr>
      </w:pPr>
      <w:r>
        <w:rPr>
          <w:bCs/>
          <w:highlight w:val="yellow"/>
        </w:rPr>
        <w:t>4. Sửa đổi, bổ sung Điều 29 như sau:</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szCs w:val="28"/>
          <w:lang w:val="vi-VN"/>
        </w:rPr>
      </w:pPr>
      <w:r>
        <w:rPr>
          <w:rFonts w:eastAsia="Times New Roman"/>
          <w:b/>
          <w:bCs/>
          <w:szCs w:val="28"/>
        </w:rPr>
        <w:t>“</w:t>
      </w:r>
      <w:r>
        <w:rPr>
          <w:rFonts w:eastAsia="Times New Roman"/>
          <w:b/>
          <w:bCs/>
          <w:szCs w:val="28"/>
        </w:rPr>
        <w:t>Điều 2</w:t>
      </w:r>
      <w:r>
        <w:rPr>
          <w:rFonts w:eastAsia="Times New Roman"/>
          <w:b/>
          <w:bCs/>
          <w:szCs w:val="28"/>
          <w:lang w:val="vi-VN"/>
        </w:rPr>
        <w:t>9</w:t>
      </w:r>
      <w:r>
        <w:rPr>
          <w:rFonts w:eastAsia="Times New Roman"/>
          <w:b/>
          <w:bCs/>
          <w:szCs w:val="28"/>
        </w:rPr>
        <w:t xml:space="preserve">. </w:t>
      </w:r>
      <w:r>
        <w:rPr>
          <w:rFonts w:eastAsia="Times New Roman"/>
          <w:b/>
          <w:bCs/>
          <w:szCs w:val="28"/>
          <w:lang w:val="vi-VN"/>
        </w:rPr>
        <w:t xml:space="preserve">Chấm dứt </w:t>
      </w:r>
      <w:r>
        <w:rPr>
          <w:rFonts w:eastAsia="Times New Roman"/>
          <w:b/>
          <w:bCs/>
          <w:szCs w:val="28"/>
        </w:rPr>
        <w:t>hoạt động của Trung tâm trọng tài</w:t>
      </w:r>
    </w:p>
    <w:p>
      <w:pPr>
        <w:pStyle w:val="Normal"/>
        <w:spacing w:lineRule="exact" w:line="400" w:before="120" w:after="120"/>
        <w:ind w:firstLine="457"/>
        <w:jc w:val="both"/>
        <w:rPr/>
      </w:pPr>
      <w:bookmarkStart w:id="4" w:name="khoan_1_29"/>
      <w:r>
        <w:rPr/>
        <w:t>1. Hoạt động của Trung tâm trọng tài chấm dứt trong các trường hợp sau đây:</w:t>
      </w:r>
      <w:bookmarkEnd w:id="4"/>
    </w:p>
    <w:p>
      <w:pPr>
        <w:pStyle w:val="Normal"/>
        <w:spacing w:lineRule="exact" w:line="400" w:before="120" w:after="120"/>
        <w:ind w:firstLine="457"/>
        <w:jc w:val="both"/>
        <w:rPr/>
      </w:pPr>
      <w:bookmarkStart w:id="5" w:name="khoan_30"/>
      <w:r>
        <w:rPr/>
        <w:t>a) Các trường hợp được quy định tại điều lệ của Trung tâm trọng tài;</w:t>
      </w:r>
      <w:bookmarkEnd w:id="5"/>
    </w:p>
    <w:p>
      <w:pPr>
        <w:pStyle w:val="Normal"/>
        <w:spacing w:lineRule="exact" w:line="400" w:before="120" w:after="120"/>
        <w:ind w:firstLine="457"/>
        <w:jc w:val="both"/>
        <w:rPr/>
      </w:pPr>
      <w:bookmarkStart w:id="6" w:name="khoan_31"/>
      <w:r>
        <w:rPr/>
        <w:t>b) Bị thu hồi Giấy phép thành lập, Giấy đăng ký hoạt động.</w:t>
      </w:r>
      <w:bookmarkEnd w:id="6"/>
    </w:p>
    <w:p>
      <w:pPr>
        <w:pStyle w:val="Normal"/>
        <w:spacing w:lineRule="exact" w:line="400" w:before="120" w:after="120"/>
        <w:ind w:firstLine="457"/>
        <w:jc w:val="both"/>
        <w:rPr>
          <w:i/>
          <w:iCs/>
        </w:rPr>
      </w:pPr>
      <w:r>
        <w:rPr>
          <w:i/>
          <w:iCs/>
        </w:rPr>
        <w:t>2. Việc chấm dứt hoạt động của Trung tâm trọng tài thuộc thẩm quyền của Chủ tịch Uỷ ban nhân dân cấp tỉnh</w:t>
      </w:r>
      <w:r>
        <w:rPr>
          <w:rStyle w:val="FootnoteReference"/>
          <w:i/>
          <w:iCs/>
        </w:rPr>
        <w:footnoteReference w:id="2"/>
      </w:r>
      <w:r>
        <w:rPr>
          <w:i/>
          <w:iCs/>
        </w:rPr>
        <w:t xml:space="preserve">. </w:t>
      </w:r>
    </w:p>
    <w:p>
      <w:pPr>
        <w:pStyle w:val="Normal"/>
        <w:spacing w:lineRule="exact" w:line="400" w:before="120" w:after="120"/>
        <w:ind w:firstLine="457"/>
        <w:jc w:val="both"/>
        <w:rPr/>
      </w:pPr>
      <w:bookmarkStart w:id="7" w:name="khoan_29"/>
      <w:r>
        <w:rPr/>
        <w:t>3. Chính phủ quy định chi tiết các trường hợp bị thu hồi Giấy phép thành lập, Giấy đăng ký hoạt động và trình tự, thủ tục chấm dứt hoạt động của Trung tâm trọng tài</w:t>
      </w:r>
      <w:bookmarkEnd w:id="7"/>
      <w:r>
        <w:rPr>
          <w:lang w:val="vi-VN"/>
        </w:rPr>
        <w:t>.</w:t>
      </w:r>
      <w:r>
        <w:rPr/>
        <w:t>”.</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szCs w:val="28"/>
        </w:rPr>
      </w:pPr>
      <w:r>
        <w:rPr>
          <w:rFonts w:eastAsia="Times New Roman"/>
          <w:szCs w:val="28"/>
          <w:highlight w:val="yellow"/>
        </w:rPr>
        <w:t>5. Bổ sung Điều 29a vào sau Điều 29 như sau:</w:t>
      </w:r>
    </w:p>
    <w:p>
      <w:pPr>
        <w:pStyle w:val="Normal"/>
        <w:spacing w:lineRule="exact" w:line="400" w:before="120" w:after="120"/>
        <w:ind w:firstLine="457"/>
        <w:jc w:val="both"/>
        <w:rPr>
          <w:b/>
          <w:i/>
          <w:iCs/>
        </w:rPr>
      </w:pPr>
      <w:r>
        <w:rPr>
          <w:rFonts w:eastAsia="Times New Roman"/>
          <w:b/>
          <w:bCs/>
          <w:i/>
          <w:iCs/>
          <w:szCs w:val="28"/>
        </w:rPr>
        <w:t>“</w:t>
      </w:r>
      <w:r>
        <w:rPr>
          <w:rFonts w:eastAsia="Times New Roman"/>
          <w:b/>
          <w:bCs/>
          <w:i/>
          <w:iCs/>
          <w:szCs w:val="28"/>
        </w:rPr>
        <w:t>Điều 29a.</w:t>
      </w:r>
      <w:r>
        <w:rPr>
          <w:rFonts w:eastAsia="Times New Roman"/>
          <w:szCs w:val="28"/>
        </w:rPr>
        <w:t xml:space="preserve"> </w:t>
      </w:r>
      <w:r>
        <w:rPr>
          <w:b/>
          <w:bCs/>
          <w:i/>
          <w:iCs/>
        </w:rPr>
        <w:t>Thay đổi nội dung Giấy phép thành lập; cấp lại Giấy phép thành lập; thu hồi Giấy phép thành lập, nộp lại Giấy đăng ký hoạt động của Trung tâm trọng tài</w:t>
      </w:r>
      <w:r>
        <w:rPr>
          <w:rStyle w:val="FootnoteReference"/>
          <w:b/>
          <w:bCs/>
          <w:i/>
          <w:iCs/>
        </w:rPr>
        <w:footnoteReference w:id="3"/>
      </w:r>
    </w:p>
    <w:p>
      <w:pPr>
        <w:pStyle w:val="Normal"/>
        <w:numPr>
          <w:ilvl w:val="0"/>
          <w:numId w:val="0"/>
        </w:numPr>
        <w:tabs>
          <w:tab w:val="clear" w:pos="720"/>
          <w:tab w:val="left" w:pos="8902" w:leader="dot"/>
        </w:tabs>
        <w:spacing w:lineRule="exact" w:line="400" w:before="120" w:after="120"/>
        <w:ind w:firstLine="567" w:left="-110"/>
        <w:jc w:val="both"/>
        <w:outlineLvl w:val="0"/>
        <w:rPr>
          <w:i/>
          <w:iCs/>
        </w:rPr>
      </w:pPr>
      <w:r>
        <w:rPr>
          <w:i/>
          <w:iCs/>
        </w:rPr>
        <w:t xml:space="preserve">1. Việc thay đổi nội dung Giấy phép thành lập; cấp lại Giấy phép thành lập; thu hồi Giấy phép thành lập Trung tâm trọng tài thuộc thẩm quyền của Chủ tịch Ủy ban nhân dân cấp tỉnh. </w:t>
      </w:r>
    </w:p>
    <w:p>
      <w:pPr>
        <w:pStyle w:val="Normal"/>
        <w:numPr>
          <w:ilvl w:val="0"/>
          <w:numId w:val="0"/>
        </w:numPr>
        <w:tabs>
          <w:tab w:val="clear" w:pos="720"/>
          <w:tab w:val="left" w:pos="8902" w:leader="dot"/>
        </w:tabs>
        <w:spacing w:lineRule="exact" w:line="400" w:before="120" w:after="120"/>
        <w:ind w:firstLine="567" w:left="-110"/>
        <w:jc w:val="both"/>
        <w:outlineLvl w:val="0"/>
        <w:rPr>
          <w:i/>
          <w:iCs/>
        </w:rPr>
      </w:pPr>
      <w:r>
        <w:rPr>
          <w:i/>
          <w:iCs/>
        </w:rPr>
        <w:t>Sau khi có quyết định thu hồi Giấy phép thành lập, Trung tâm trọng tài phải nộp lại Giấy đăng ký hoạt động cho Sở Tư pháp nơi cấp Giấy đăng ký hoạt động</w:t>
      </w:r>
      <w:r>
        <w:rPr>
          <w:rStyle w:val="FootnoteReference"/>
          <w:i/>
          <w:iCs/>
        </w:rPr>
        <w:footnoteReference w:id="4"/>
      </w:r>
      <w:r>
        <w:rPr>
          <w:i/>
          <w:iCs/>
        </w:rPr>
        <w:t xml:space="preserve">. </w:t>
      </w:r>
    </w:p>
    <w:p>
      <w:pPr>
        <w:pStyle w:val="Normal"/>
        <w:spacing w:lineRule="exact" w:line="400" w:before="120" w:after="120"/>
        <w:ind w:firstLine="457"/>
        <w:jc w:val="both"/>
        <w:rPr>
          <w:i/>
          <w:iCs/>
          <w:lang w:val="vi-VN"/>
        </w:rPr>
      </w:pPr>
      <w:r>
        <w:rPr>
          <w:i/>
          <w:iCs/>
        </w:rPr>
        <w:t>2. Chính phủ quy định trình tự, thủ tục</w:t>
      </w:r>
      <w:r>
        <w:rPr>
          <w:b/>
          <w:bCs/>
          <w:i/>
          <w:iCs/>
        </w:rPr>
        <w:t xml:space="preserve"> </w:t>
      </w:r>
      <w:r>
        <w:rPr>
          <w:i/>
          <w:iCs/>
        </w:rPr>
        <w:t>thay đổi nội dung Giấy phép thành lập; cấp lại Giấy phép thành lập; thu hồi Giấy phép thành lập, nộp lại Giấy đăng ký hoạt động của Trung tâm trọng tài.</w:t>
      </w:r>
      <w:bookmarkStart w:id="8" w:name="dieu_34"/>
      <w:r>
        <w:rPr>
          <w:i/>
          <w:iCs/>
        </w:rPr>
        <w:t>”</w:t>
      </w:r>
      <w:r>
        <w:rPr>
          <w:i/>
          <w:iCs/>
          <w:lang w:val="vi-VN"/>
        </w:rPr>
        <w:t>.</w:t>
      </w:r>
    </w:p>
    <w:p>
      <w:pPr>
        <w:pStyle w:val="Normal"/>
        <w:numPr>
          <w:ilvl w:val="0"/>
          <w:numId w:val="0"/>
        </w:numPr>
        <w:tabs>
          <w:tab w:val="clear" w:pos="720"/>
          <w:tab w:val="left" w:pos="8902" w:leader="dot"/>
        </w:tabs>
        <w:spacing w:lineRule="exact" w:line="400" w:before="120" w:after="120"/>
        <w:ind w:firstLine="567" w:left="-110"/>
        <w:jc w:val="both"/>
        <w:outlineLvl w:val="0"/>
        <w:rPr>
          <w:rFonts w:eastAsia="Times New Roman"/>
          <w:szCs w:val="28"/>
        </w:rPr>
      </w:pPr>
      <w:r>
        <w:rPr>
          <w:highlight w:val="yellow"/>
        </w:rPr>
        <w:t>6.</w:t>
      </w:r>
      <w:r>
        <w:rPr>
          <w:b/>
          <w:bCs/>
          <w:highlight w:val="yellow"/>
        </w:rPr>
        <w:t xml:space="preserve"> </w:t>
      </w:r>
      <w:r>
        <w:rPr>
          <w:highlight w:val="yellow"/>
        </w:rPr>
        <w:t>Sửa đổi, b</w:t>
      </w:r>
      <w:r>
        <w:rPr>
          <w:rFonts w:eastAsia="Times New Roman"/>
          <w:szCs w:val="28"/>
          <w:highlight w:val="yellow"/>
        </w:rPr>
        <w:t>ổ sung Điều 79 như sau:</w:t>
      </w:r>
    </w:p>
    <w:p>
      <w:pPr>
        <w:pStyle w:val="Normal"/>
        <w:spacing w:lineRule="exact" w:line="400" w:before="120" w:after="120"/>
        <w:ind w:firstLine="457"/>
        <w:jc w:val="both"/>
        <w:rPr>
          <w:b/>
          <w:i/>
          <w:iCs/>
        </w:rPr>
      </w:pPr>
      <w:r>
        <w:rPr>
          <w:b/>
          <w:bCs/>
          <w:i/>
          <w:iCs/>
        </w:rPr>
        <w:t>“</w:t>
      </w:r>
      <w:r>
        <w:rPr>
          <w:b/>
          <w:bCs/>
          <w:i/>
          <w:iCs/>
        </w:rPr>
        <w:t>Điều 79. Hoạt động của Chi nhánh, Văn phòng đại diện của Tổ chức trọng tài nước ngoài tại Việt Nam</w:t>
      </w:r>
    </w:p>
    <w:p>
      <w:pPr>
        <w:pStyle w:val="Normal"/>
        <w:spacing w:lineRule="exact" w:line="400" w:before="120" w:after="120"/>
        <w:ind w:firstLine="457"/>
        <w:jc w:val="both"/>
        <w:rPr>
          <w:i/>
          <w:iCs/>
        </w:rPr>
      </w:pPr>
      <w:r>
        <w:rPr>
          <w:i/>
          <w:iCs/>
        </w:rPr>
        <w:t>1. Việc thành lập, đăng ký, hoạt động và chấm dứt hoạt động của Chi nhánh, Văn phòng đại diện của Tổ chức trọng tài nước ngoài tại Việt Nam được thực hiện theo quy định của pháp luật Việt Nam và điều ước quốc tế mà Cộng hòa xã hội chủ nghĩa Việt Nam là thành viên.</w:t>
      </w:r>
    </w:p>
    <w:p>
      <w:pPr>
        <w:pStyle w:val="Normal"/>
        <w:spacing w:lineRule="exact" w:line="400" w:before="120" w:after="120"/>
        <w:ind w:firstLine="457"/>
        <w:jc w:val="both"/>
        <w:rPr>
          <w:i/>
          <w:iCs/>
        </w:rPr>
      </w:pPr>
      <w:r>
        <w:rPr>
          <w:i/>
          <w:iCs/>
        </w:rPr>
        <w:t>2. Việc cấp Giấy phép thành lập; thay đổi nội dung Giấy phép thành lập; cấp lại, thu hồi Giấy phép thành lập; chấm dứt hoạt động của Chi nhánh, Văn phòng đại diện của Tổ chức trọng tài nước ngoài tại Việt Nam thuộc thẩm quyền của Chủ tịch Ủy ban nhân dân cấp tỉnh.</w:t>
      </w:r>
    </w:p>
    <w:p>
      <w:pPr>
        <w:pStyle w:val="Normal"/>
        <w:spacing w:lineRule="exact" w:line="400" w:before="120" w:after="120"/>
        <w:ind w:firstLine="457"/>
        <w:jc w:val="both"/>
        <w:rPr>
          <w:i/>
          <w:iCs/>
        </w:rPr>
      </w:pPr>
      <w:r>
        <w:rPr>
          <w:i/>
          <w:iCs/>
        </w:rPr>
        <w:t>Sau khi có quyết định thu hồi Giấy phép thành lập, Chi nhánh, Văn phòng đại diện của Tổ chức trọng tài nước ngoài phải nộp lại Giấy đăng ký hoạt động cho Sở Tư pháp nơi cấp Giấy đăng ký hoạt động.</w:t>
      </w:r>
    </w:p>
    <w:p>
      <w:pPr>
        <w:pStyle w:val="Normal"/>
        <w:spacing w:lineRule="exact" w:line="400" w:before="120" w:after="120"/>
        <w:ind w:firstLine="457"/>
        <w:jc w:val="both"/>
        <w:rPr>
          <w:i/>
          <w:iCs/>
          <w:lang w:val="vi-VN"/>
        </w:rPr>
      </w:pPr>
      <w:r>
        <w:rPr>
          <w:i/>
          <w:iCs/>
        </w:rPr>
        <w:t>3. Chính phủ quy định trình tự, thủ tục cấp Giấy phép thành lập; thay đổi nội dung Giấy phép thành lập; cấp lại Giấy phép thành lập; thu hồi Giấy phép thành lập; chấm dứt hoạt động của Chi nhánh, Văn phòng đại diện của Tổ chức trọng tài nước ngoài tại Việt Nam.</w:t>
      </w:r>
      <w:r>
        <w:rPr>
          <w:i/>
          <w:iCs/>
          <w:lang w:val="vi-VN"/>
        </w:rPr>
        <w:t>”.</w:t>
      </w:r>
      <w:bookmarkEnd w:id="8"/>
    </w:p>
    <w:p>
      <w:pPr>
        <w:pStyle w:val="Normal"/>
        <w:tabs>
          <w:tab w:val="clear" w:pos="720"/>
          <w:tab w:val="left" w:pos="8902" w:leader="dot"/>
        </w:tabs>
        <w:spacing w:lineRule="exact" w:line="400" w:before="120" w:after="120"/>
        <w:ind w:firstLine="567"/>
        <w:jc w:val="both"/>
        <w:rPr>
          <w:rFonts w:eastAsia="Times New Roman"/>
          <w:b/>
          <w:bCs/>
          <w:szCs w:val="28"/>
          <w:lang w:val="vi-VN"/>
        </w:rPr>
      </w:pPr>
      <w:r>
        <w:rPr>
          <w:rFonts w:eastAsia="Times New Roman"/>
          <w:b/>
          <w:bCs/>
          <w:szCs w:val="28"/>
          <w:lang w:val="vi-VN"/>
        </w:rPr>
      </w:r>
    </w:p>
    <w:p>
      <w:pPr>
        <w:pStyle w:val="Normal"/>
        <w:tabs>
          <w:tab w:val="clear" w:pos="720"/>
          <w:tab w:val="left" w:pos="8902" w:leader="dot"/>
        </w:tabs>
        <w:spacing w:lineRule="exact" w:line="400" w:before="120" w:after="120"/>
        <w:ind w:firstLine="567"/>
        <w:jc w:val="both"/>
        <w:rPr>
          <w:rFonts w:eastAsia="Times New Roman"/>
          <w:b/>
          <w:bCs/>
          <w:szCs w:val="28"/>
        </w:rPr>
      </w:pPr>
      <w:r>
        <w:rPr>
          <w:rFonts w:eastAsia="Times New Roman"/>
          <w:b/>
          <w:bCs/>
          <w:szCs w:val="28"/>
        </w:rPr>
        <w:t>Điều 2. Hiệu lực thi hành</w:t>
      </w:r>
    </w:p>
    <w:p>
      <w:pPr>
        <w:pStyle w:val="Normal"/>
        <w:tabs>
          <w:tab w:val="clear" w:pos="720"/>
          <w:tab w:val="left" w:pos="8902" w:leader="dot"/>
        </w:tabs>
        <w:spacing w:lineRule="exact" w:line="400" w:before="120" w:after="120"/>
        <w:ind w:firstLine="567"/>
        <w:jc w:val="both"/>
        <w:rPr>
          <w:rFonts w:eastAsia="Times New Roman"/>
          <w:bCs/>
          <w:szCs w:val="28"/>
        </w:rPr>
      </w:pPr>
      <w:r>
        <w:rPr>
          <w:rFonts w:eastAsia="Times New Roman"/>
          <w:bCs/>
          <w:szCs w:val="28"/>
        </w:rPr>
        <w:t>1. Luật này có hiệu lực thi hành từ ngày 01 tháng 3 năm 2027.</w:t>
      </w:r>
    </w:p>
    <w:p>
      <w:pPr>
        <w:pStyle w:val="Normal"/>
        <w:tabs>
          <w:tab w:val="clear" w:pos="720"/>
          <w:tab w:val="left" w:pos="8902" w:leader="dot"/>
        </w:tabs>
        <w:spacing w:lineRule="exact" w:line="400" w:before="120" w:after="120"/>
        <w:ind w:firstLine="567"/>
        <w:jc w:val="both"/>
        <w:rPr>
          <w:rFonts w:eastAsia="Times New Roman"/>
          <w:bCs/>
          <w:szCs w:val="28"/>
        </w:rPr>
      </w:pPr>
      <w:r>
        <w:rPr>
          <w:rFonts w:eastAsia="Times New Roman"/>
          <w:bCs/>
          <w:szCs w:val="28"/>
        </w:rPr>
        <w:t>2. Văn bản, giấy tờ đã được cơ quan, chức danh có thẩm quyền ban hành, cấp trước ngày Luật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pStyle w:val="Normal"/>
        <w:tabs>
          <w:tab w:val="clear" w:pos="720"/>
          <w:tab w:val="left" w:pos="8902" w:leader="dot"/>
        </w:tabs>
        <w:spacing w:lineRule="atLeast" w:line="260" w:before="120" w:after="120"/>
        <w:ind w:firstLine="567"/>
        <w:jc w:val="both"/>
        <w:rPr>
          <w:rFonts w:eastAsia="Times New Roman"/>
          <w:bCs/>
          <w:spacing w:val="-10"/>
          <w:szCs w:val="28"/>
        </w:rPr>
      </w:pPr>
      <w:r>
        <w:rPr>
          <w:rFonts w:eastAsia="Times New Roman"/>
          <w:bCs/>
          <w:spacing w:val="-10"/>
          <w:szCs w:val="28"/>
        </w:rPr>
        <mc:AlternateContent>
          <mc:Choice Requires="wps">
            <w:drawing>
              <wp:anchor distT="10160" distB="8890" distL="13335" distR="10160" simplePos="0" relativeHeight="2" behindDoc="0" locked="0" layoutInCell="1" allowOverlap="1" wp14:anchorId="4F3B749B">
                <wp:simplePos x="0" y="0"/>
                <wp:positionH relativeFrom="column">
                  <wp:posOffset>-9525</wp:posOffset>
                </wp:positionH>
                <wp:positionV relativeFrom="paragraph">
                  <wp:posOffset>135890</wp:posOffset>
                </wp:positionV>
                <wp:extent cx="5967730" cy="0"/>
                <wp:effectExtent l="5080" t="5080" r="5080" b="5080"/>
                <wp:wrapNone/>
                <wp:docPr id="1" name="Line 4623"/>
                <a:graphic xmlns:a="http://schemas.openxmlformats.org/drawingml/2006/main">
                  <a:graphicData uri="http://schemas.microsoft.com/office/word/2010/wordprocessingShape">
                    <wps:wsp>
                      <wps:cNvSpPr/>
                      <wps:spPr>
                        <a:xfrm>
                          <a:off x="0" y="0"/>
                          <a:ext cx="596772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75pt,10.7pt" to="469.1pt,10.7pt" stroked="t" o:allowincell="f" style="position:absolute" wp14:anchorId="4F3B749B">
                <v:stroke color="black" weight="9360" joinstyle="round" endcap="flat"/>
                <v:fill o:detectmouseclick="t" on="false"/>
                <w10:wrap type="none"/>
              </v:line>
            </w:pict>
          </mc:Fallback>
        </mc:AlternateContent>
      </w:r>
    </w:p>
    <w:p>
      <w:pPr>
        <w:pStyle w:val="Normal"/>
        <w:tabs>
          <w:tab w:val="clear" w:pos="720"/>
          <w:tab w:val="left" w:pos="8902" w:leader="dot"/>
        </w:tabs>
        <w:spacing w:lineRule="atLeast" w:line="260" w:before="120" w:after="120"/>
        <w:ind w:firstLine="567" w:left="-110"/>
        <w:jc w:val="both"/>
        <w:rPr>
          <w:rFonts w:eastAsia="Times New Roman"/>
          <w:bCs/>
          <w:i/>
          <w:spacing w:val="4"/>
          <w:szCs w:val="28"/>
        </w:rPr>
      </w:pPr>
      <w:r>
        <w:rPr>
          <w:rFonts w:eastAsia="Times New Roman"/>
          <w:bCs/>
          <w:i/>
          <w:spacing w:val="4"/>
          <w:szCs w:val="28"/>
        </w:rPr>
        <w:t>Luật này được Quốc hội nước Cộng hòa xã hội chủ nghĩa Việt Nam khóa XVI, Kỳ họp thứ 2 thông qua ngày...  tháng 10 năm 2026.</w:t>
      </w:r>
    </w:p>
    <w:tbl>
      <w:tblPr>
        <w:tblW w:w="9627" w:type="dxa"/>
        <w:jc w:val="left"/>
        <w:tblInd w:w="108" w:type="dxa"/>
        <w:tblLayout w:type="fixed"/>
        <w:tblCellMar>
          <w:top w:w="0" w:type="dxa"/>
          <w:left w:w="108" w:type="dxa"/>
          <w:bottom w:w="0" w:type="dxa"/>
          <w:right w:w="108" w:type="dxa"/>
        </w:tblCellMar>
        <w:tblLook w:val="01e0" w:firstRow="1" w:noVBand="0" w:lastRow="1" w:firstColumn="1" w:lastColumn="1" w:noHBand="0"/>
      </w:tblPr>
      <w:tblGrid>
        <w:gridCol w:w="4077"/>
        <w:gridCol w:w="5550"/>
      </w:tblGrid>
      <w:tr>
        <w:trPr>
          <w:trHeight w:val="1365" w:hRule="atLeast"/>
        </w:trPr>
        <w:tc>
          <w:tcPr>
            <w:tcW w:w="4077" w:type="dxa"/>
            <w:tcBorders/>
          </w:tcPr>
          <w:p>
            <w:pPr>
              <w:pStyle w:val="Normal"/>
              <w:tabs>
                <w:tab w:val="clear" w:pos="720"/>
                <w:tab w:val="left" w:pos="8902" w:leader="dot"/>
              </w:tabs>
              <w:spacing w:lineRule="atLeast" w:line="340" w:before="0" w:after="0"/>
              <w:ind w:left="-110"/>
              <w:jc w:val="both"/>
              <w:rPr>
                <w:rFonts w:eastAsia="Times New Roman"/>
                <w:b/>
                <w:bCs/>
                <w:i/>
                <w:iCs/>
                <w:sz w:val="24"/>
                <w:szCs w:val="24"/>
              </w:rPr>
            </w:pPr>
            <w:r>
              <w:rPr>
                <w:rFonts w:eastAsia="Times New Roman"/>
                <w:b/>
                <w:bCs/>
                <w:i/>
                <w:iCs/>
                <w:sz w:val="24"/>
                <w:szCs w:val="24"/>
              </w:rPr>
            </w:r>
          </w:p>
          <w:p>
            <w:pPr>
              <w:pStyle w:val="Normal"/>
              <w:tabs>
                <w:tab w:val="clear" w:pos="720"/>
                <w:tab w:val="left" w:pos="8902" w:leader="dot"/>
              </w:tabs>
              <w:spacing w:lineRule="atLeast" w:line="340" w:before="0" w:after="0"/>
              <w:ind w:left="-110"/>
              <w:jc w:val="both"/>
              <w:rPr>
                <w:rFonts w:eastAsia="Times New Roman"/>
                <w:b/>
                <w:bCs/>
                <w:i/>
                <w:iCs/>
                <w:sz w:val="24"/>
                <w:szCs w:val="24"/>
              </w:rPr>
            </w:pPr>
            <w:r>
              <w:rPr>
                <w:rFonts w:eastAsia="Times New Roman"/>
                <w:b/>
                <w:bCs/>
                <w:i/>
                <w:iCs/>
                <w:sz w:val="24"/>
                <w:szCs w:val="24"/>
              </w:rPr>
            </w:r>
          </w:p>
          <w:p>
            <w:pPr>
              <w:pStyle w:val="Normal"/>
              <w:tabs>
                <w:tab w:val="clear" w:pos="720"/>
                <w:tab w:val="left" w:pos="8902" w:leader="dot"/>
              </w:tabs>
              <w:spacing w:lineRule="atLeast" w:line="340" w:before="0" w:after="0"/>
              <w:ind w:left="-110"/>
              <w:jc w:val="both"/>
              <w:rPr>
                <w:rFonts w:eastAsia="Times New Roman"/>
                <w:b/>
                <w:bCs/>
                <w:i/>
                <w:iCs/>
                <w:sz w:val="24"/>
                <w:szCs w:val="24"/>
              </w:rPr>
            </w:pPr>
            <w:r>
              <w:rPr>
                <w:rFonts w:eastAsia="Times New Roman"/>
                <w:b/>
                <w:bCs/>
                <w:i/>
                <w:iCs/>
                <w:sz w:val="24"/>
                <w:szCs w:val="24"/>
              </w:rPr>
            </w:r>
          </w:p>
          <w:p>
            <w:pPr>
              <w:pStyle w:val="Normal"/>
              <w:tabs>
                <w:tab w:val="clear" w:pos="720"/>
                <w:tab w:val="left" w:pos="8902" w:leader="dot"/>
              </w:tabs>
              <w:spacing w:lineRule="atLeast" w:line="340" w:before="0" w:after="0"/>
              <w:ind w:left="-110"/>
              <w:jc w:val="both"/>
              <w:rPr>
                <w:rFonts w:eastAsia="Times New Roman"/>
                <w:b/>
                <w:bCs/>
                <w:i/>
                <w:iCs/>
                <w:sz w:val="24"/>
                <w:szCs w:val="24"/>
              </w:rPr>
            </w:pPr>
            <w:r>
              <w:rPr>
                <w:rFonts w:eastAsia="Times New Roman"/>
                <w:b/>
                <w:bCs/>
                <w:i/>
                <w:iCs/>
                <w:sz w:val="24"/>
                <w:szCs w:val="24"/>
              </w:rPr>
            </w:r>
          </w:p>
          <w:p>
            <w:pPr>
              <w:pStyle w:val="Normal"/>
              <w:tabs>
                <w:tab w:val="clear" w:pos="720"/>
                <w:tab w:val="left" w:pos="8902" w:leader="dot"/>
              </w:tabs>
              <w:spacing w:lineRule="atLeast" w:line="340" w:before="0" w:after="0"/>
              <w:ind w:left="-115"/>
              <w:jc w:val="both"/>
              <w:rPr>
                <w:rFonts w:eastAsia="Times New Roman"/>
                <w:sz w:val="22"/>
                <w:szCs w:val="22"/>
              </w:rPr>
            </w:pPr>
            <w:r>
              <w:rPr>
                <w:rFonts w:eastAsia="Times New Roman"/>
                <w:sz w:val="22"/>
                <w:szCs w:val="22"/>
              </w:rPr>
            </w:r>
          </w:p>
          <w:p>
            <w:pPr>
              <w:pStyle w:val="Normal"/>
              <w:tabs>
                <w:tab w:val="clear" w:pos="720"/>
                <w:tab w:val="left" w:pos="8902" w:leader="dot"/>
              </w:tabs>
              <w:spacing w:lineRule="atLeast" w:line="340" w:before="0" w:after="0"/>
              <w:ind w:left="-110"/>
              <w:jc w:val="both"/>
              <w:rPr>
                <w:rFonts w:eastAsia="Times New Roman"/>
                <w:b/>
                <w:bCs/>
                <w:szCs w:val="28"/>
              </w:rPr>
            </w:pPr>
            <w:r>
              <w:rPr>
                <w:rFonts w:eastAsia="Times New Roman"/>
                <w:b/>
                <w:bCs/>
                <w:szCs w:val="28"/>
              </w:rPr>
            </w:r>
          </w:p>
        </w:tc>
        <w:tc>
          <w:tcPr>
            <w:tcW w:w="5550" w:type="dxa"/>
            <w:tcBorders/>
          </w:tcPr>
          <w:p>
            <w:pPr>
              <w:pStyle w:val="Normal"/>
              <w:keepNext w:val="true"/>
              <w:numPr>
                <w:ilvl w:val="0"/>
                <w:numId w:val="0"/>
              </w:numPr>
              <w:tabs>
                <w:tab w:val="clear" w:pos="720"/>
                <w:tab w:val="left" w:pos="8902" w:leader="dot"/>
              </w:tabs>
              <w:spacing w:lineRule="atLeast" w:line="340" w:before="0" w:after="0"/>
              <w:ind w:left="-108"/>
              <w:jc w:val="center"/>
              <w:outlineLvl w:val="6"/>
              <w:rPr>
                <w:rFonts w:eastAsia="Times New Roman"/>
                <w:b/>
                <w:szCs w:val="28"/>
              </w:rPr>
            </w:pPr>
            <w:r>
              <w:rPr>
                <w:rFonts w:eastAsia="Times New Roman"/>
                <w:b/>
                <w:szCs w:val="28"/>
              </w:rPr>
              <w:t>CHỦ TỊCH QUỐC HỘI</w:t>
            </w:r>
          </w:p>
          <w:p>
            <w:pPr>
              <w:pStyle w:val="Normal"/>
              <w:tabs>
                <w:tab w:val="clear" w:pos="720"/>
                <w:tab w:val="left" w:pos="8902" w:leader="dot"/>
              </w:tabs>
              <w:spacing w:lineRule="atLeast" w:line="340" w:before="0" w:after="0"/>
              <w:ind w:left="-108"/>
              <w:jc w:val="center"/>
              <w:rPr>
                <w:rFonts w:eastAsia="Times New Roman"/>
                <w:b/>
                <w:bCs/>
                <w:i/>
                <w:iCs/>
                <w:sz w:val="32"/>
                <w:szCs w:val="28"/>
              </w:rPr>
            </w:pPr>
            <w:r>
              <w:rPr>
                <w:rFonts w:eastAsia="Times New Roman"/>
                <w:bCs/>
                <w:i/>
                <w:szCs w:val="28"/>
              </w:rPr>
              <w:t xml:space="preserve"> </w:t>
            </w:r>
          </w:p>
          <w:p>
            <w:pPr>
              <w:pStyle w:val="Normal"/>
              <w:tabs>
                <w:tab w:val="clear" w:pos="720"/>
                <w:tab w:val="left" w:pos="8902" w:leader="dot"/>
              </w:tabs>
              <w:spacing w:lineRule="atLeast" w:line="340" w:before="0" w:after="0"/>
              <w:rPr>
                <w:rFonts w:eastAsia="Times New Roman"/>
                <w:b/>
                <w:bCs/>
                <w:szCs w:val="28"/>
                <w:lang w:val="vi-VN"/>
              </w:rPr>
            </w:pPr>
            <w:r>
              <w:rPr>
                <w:rFonts w:eastAsia="Times New Roman"/>
                <w:b/>
                <w:bCs/>
                <w:szCs w:val="28"/>
                <w:lang w:val="vi-VN"/>
              </w:rPr>
            </w:r>
          </w:p>
          <w:p>
            <w:pPr>
              <w:pStyle w:val="Normal"/>
              <w:tabs>
                <w:tab w:val="clear" w:pos="720"/>
                <w:tab w:val="left" w:pos="8902" w:leader="dot"/>
              </w:tabs>
              <w:spacing w:lineRule="atLeast" w:line="340" w:before="0" w:after="0"/>
              <w:rPr>
                <w:rFonts w:eastAsia="Times New Roman"/>
                <w:b/>
                <w:bCs/>
                <w:szCs w:val="28"/>
                <w:lang w:val="vi-VN"/>
              </w:rPr>
            </w:pPr>
            <w:r>
              <w:rPr>
                <w:rFonts w:eastAsia="Times New Roman"/>
                <w:b/>
                <w:bCs/>
                <w:szCs w:val="28"/>
                <w:lang w:val="vi-VN"/>
              </w:rPr>
            </w:r>
          </w:p>
          <w:p>
            <w:pPr>
              <w:pStyle w:val="Normal"/>
              <w:tabs>
                <w:tab w:val="clear" w:pos="720"/>
                <w:tab w:val="left" w:pos="8902" w:leader="dot"/>
              </w:tabs>
              <w:spacing w:lineRule="atLeast" w:line="340" w:before="0" w:after="0"/>
              <w:rPr>
                <w:rFonts w:eastAsia="Times New Roman"/>
                <w:b/>
                <w:bCs/>
                <w:szCs w:val="28"/>
                <w:lang w:val="vi-VN"/>
              </w:rPr>
            </w:pPr>
            <w:r>
              <w:rPr>
                <w:rFonts w:eastAsia="Times New Roman"/>
                <w:b/>
                <w:bCs/>
                <w:szCs w:val="28"/>
                <w:lang w:val="vi-VN"/>
              </w:rPr>
            </w:r>
          </w:p>
          <w:p>
            <w:pPr>
              <w:pStyle w:val="Normal"/>
              <w:tabs>
                <w:tab w:val="clear" w:pos="720"/>
                <w:tab w:val="left" w:pos="8902" w:leader="dot"/>
              </w:tabs>
              <w:spacing w:lineRule="atLeast" w:line="340" w:before="0" w:after="0"/>
              <w:ind w:left="-108"/>
              <w:jc w:val="center"/>
              <w:rPr>
                <w:rFonts w:eastAsia="Times New Roman"/>
                <w:b/>
                <w:bCs/>
                <w:szCs w:val="28"/>
              </w:rPr>
            </w:pPr>
            <w:r>
              <w:rPr>
                <w:rFonts w:eastAsia="Times New Roman"/>
                <w:b/>
                <w:bCs/>
                <w:szCs w:val="28"/>
              </w:rPr>
            </w:r>
          </w:p>
          <w:p>
            <w:pPr>
              <w:pStyle w:val="Normal"/>
              <w:tabs>
                <w:tab w:val="clear" w:pos="720"/>
                <w:tab w:val="left" w:pos="8902" w:leader="dot"/>
              </w:tabs>
              <w:spacing w:lineRule="atLeast" w:line="340" w:before="0" w:after="0"/>
              <w:ind w:left="-108"/>
              <w:rPr>
                <w:rFonts w:eastAsia="Times New Roman"/>
                <w:b/>
                <w:bCs/>
                <w:szCs w:val="28"/>
              </w:rPr>
            </w:pPr>
            <w:r>
              <w:rPr>
                <w:rFonts w:eastAsia="Times New Roman"/>
                <w:b/>
                <w:bCs/>
                <w:szCs w:val="28"/>
                <w:lang w:val="vi-VN"/>
              </w:rPr>
              <w:t xml:space="preserve">                       </w:t>
            </w:r>
            <w:r>
              <w:rPr>
                <w:rFonts w:eastAsia="Times New Roman"/>
                <w:b/>
                <w:bCs/>
                <w:szCs w:val="28"/>
              </w:rPr>
              <w:t>Trần Thanh Mẫn</w:t>
            </w:r>
          </w:p>
        </w:tc>
      </w:tr>
      <w:tr>
        <w:trPr>
          <w:trHeight w:val="1365" w:hRule="atLeast"/>
        </w:trPr>
        <w:tc>
          <w:tcPr>
            <w:tcW w:w="4077" w:type="dxa"/>
            <w:tcBorders/>
          </w:tcPr>
          <w:p>
            <w:pPr>
              <w:pStyle w:val="Normal"/>
              <w:tabs>
                <w:tab w:val="clear" w:pos="720"/>
                <w:tab w:val="left" w:pos="8902" w:leader="dot"/>
              </w:tabs>
              <w:spacing w:lineRule="atLeast" w:line="340" w:before="0" w:after="0"/>
              <w:ind w:left="-110"/>
              <w:jc w:val="both"/>
              <w:rPr>
                <w:rFonts w:eastAsia="Times New Roman"/>
                <w:b/>
                <w:bCs/>
                <w:i/>
                <w:iCs/>
                <w:sz w:val="24"/>
                <w:szCs w:val="24"/>
              </w:rPr>
            </w:pPr>
            <w:r>
              <w:rPr>
                <w:rFonts w:eastAsia="Times New Roman"/>
                <w:b/>
                <w:bCs/>
                <w:i/>
                <w:iCs/>
                <w:sz w:val="24"/>
                <w:szCs w:val="24"/>
              </w:rPr>
            </w:r>
          </w:p>
        </w:tc>
        <w:tc>
          <w:tcPr>
            <w:tcW w:w="5550" w:type="dxa"/>
            <w:tcBorders/>
          </w:tcPr>
          <w:p>
            <w:pPr>
              <w:pStyle w:val="Normal"/>
              <w:keepNext w:val="true"/>
              <w:numPr>
                <w:ilvl w:val="0"/>
                <w:numId w:val="0"/>
              </w:numPr>
              <w:tabs>
                <w:tab w:val="clear" w:pos="720"/>
                <w:tab w:val="left" w:pos="8902" w:leader="dot"/>
              </w:tabs>
              <w:spacing w:lineRule="atLeast" w:line="340" w:before="0" w:after="0"/>
              <w:ind w:left="-108"/>
              <w:jc w:val="center"/>
              <w:outlineLvl w:val="6"/>
              <w:rPr>
                <w:rFonts w:eastAsia="Times New Roman"/>
                <w:b/>
                <w:sz w:val="26"/>
                <w:szCs w:val="26"/>
              </w:rPr>
            </w:pPr>
            <w:r>
              <w:rPr>
                <w:rFonts w:eastAsia="Times New Roman"/>
                <w:b/>
                <w:sz w:val="26"/>
                <w:szCs w:val="26"/>
              </w:rPr>
            </w:r>
          </w:p>
        </w:tc>
      </w:tr>
    </w:tbl>
    <w:p>
      <w:pPr>
        <w:pStyle w:val="Normal"/>
        <w:spacing w:lineRule="atLeast" w:line="340" w:before="120" w:after="120"/>
        <w:rPr/>
      </w:pPr>
      <w:r>
        <w:rPr/>
      </w:r>
    </w:p>
    <w:sectPr>
      <w:headerReference w:type="even" r:id="rId2"/>
      <w:headerReference w:type="default" r:id="rId3"/>
      <w:headerReference w:type="first" r:id="rId4"/>
      <w:footnotePr>
        <w:numFmt w:val="decimal"/>
      </w:footnotePr>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alibri">
    <w:charset w:val="00"/>
    <w:family w:val="roman"/>
    <w:pitch w:val="variable"/>
  </w:font>
  <w:font w:name="Liberation Sans">
    <w:altName w:val="Arial"/>
    <w:charset w:val="00"/>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 xml:space="preserve"> </w:t>
      </w:r>
      <w:r>
        <w:rPr/>
        <w:t>Điều 8(1) Nghị định 121/2025/NĐ-CP.</w:t>
      </w:r>
    </w:p>
  </w:footnote>
  <w:footnote w:id="3">
    <w:p>
      <w:pPr>
        <w:pStyle w:val="FootnoteText"/>
        <w:rPr/>
      </w:pPr>
      <w:r>
        <w:rPr>
          <w:rStyle w:val="FootnoteCharacters"/>
        </w:rPr>
        <w:footnoteRef/>
      </w:r>
      <w:r>
        <w:rPr/>
        <w:t xml:space="preserve"> </w:t>
      </w:r>
      <w:r>
        <w:rPr/>
        <w:t>Điều 33 Nghị định số 121/2025/NĐ-CP.</w:t>
      </w:r>
    </w:p>
  </w:footnote>
  <w:footnote w:id="4">
    <w:p>
      <w:pPr>
        <w:pStyle w:val="FootnoteText"/>
        <w:rPr/>
      </w:pPr>
      <w:r>
        <w:rPr>
          <w:rStyle w:val="FootnoteCharacters"/>
        </w:rPr>
        <w:footnoteRef/>
      </w:r>
      <w:r>
        <w:rPr/>
        <w:t xml:space="preserve"> </w:t>
      </w:r>
      <w:r>
        <w:rPr/>
        <w:t>Mục X Phụ lục II Nghị định 121/2025/NĐ-CP.</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467625689"/>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4</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bCs/>
        <w:kern w:val="2"/>
        <w:sz w:val="28"/>
        <w:szCs w:val="3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211f"/>
    <w:pPr>
      <w:widowControl/>
      <w:bidi w:val="0"/>
      <w:spacing w:lineRule="auto" w:line="259" w:before="0" w:after="160"/>
      <w:jc w:val="left"/>
    </w:pPr>
    <w:rPr>
      <w:rFonts w:eastAsia="Calibri" w:ascii="Times New Roman" w:hAnsi="Times New Roman" w:cs="Times New Roman"/>
      <w:bCs w:val="false"/>
      <w:color w:val="auto"/>
      <w:kern w:val="0"/>
      <w:sz w:val="28"/>
      <w:szCs w:val="16"/>
      <w:lang w:val="en-US" w:eastAsia="en-US" w:bidi="ar-SA"/>
      <w14:ligatures w14:val="none"/>
    </w:rPr>
  </w:style>
  <w:style w:type="paragraph" w:styleId="Heading1">
    <w:name w:val="heading 1"/>
    <w:basedOn w:val="Normal"/>
    <w:next w:val="Normal"/>
    <w:link w:val="Heading1Char"/>
    <w:uiPriority w:val="9"/>
    <w:qFormat/>
    <w:rsid w:val="0010211f"/>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10211f"/>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rPr>
  </w:style>
  <w:style w:type="paragraph" w:styleId="Heading3">
    <w:name w:val="heading 3"/>
    <w:basedOn w:val="Normal"/>
    <w:next w:val="Normal"/>
    <w:link w:val="Heading3Char"/>
    <w:uiPriority w:val="9"/>
    <w:semiHidden/>
    <w:unhideWhenUsed/>
    <w:qFormat/>
    <w:rsid w:val="0010211f"/>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Cs w:val="28"/>
    </w:rPr>
  </w:style>
  <w:style w:type="paragraph" w:styleId="Heading4">
    <w:name w:val="heading 4"/>
    <w:basedOn w:val="Normal"/>
    <w:next w:val="Normal"/>
    <w:link w:val="Heading4Char"/>
    <w:uiPriority w:val="9"/>
    <w:semiHidden/>
    <w:unhideWhenUsed/>
    <w:qFormat/>
    <w:rsid w:val="0010211f"/>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10211f"/>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10211f"/>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10211f"/>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10211f"/>
    <w:pPr>
      <w:keepNext w:val="true"/>
      <w:keepLines/>
      <w:spacing w:before="0" w:after="0"/>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10211f"/>
    <w:pPr>
      <w:keepNext w:val="true"/>
      <w:keepLines/>
      <w:spacing w:before="0" w:after="0"/>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0211f"/>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10211f"/>
    <w:rPr>
      <w:rFonts w:ascii="Calibri Light" w:hAnsi="Calibri Light" w:eastAsia="" w:cs="" w:asciiTheme="majorHAnsi" w:cstheme="majorBidi" w:eastAsiaTheme="majorEastAsia" w:hAnsiTheme="majorHAnsi"/>
      <w:color w:themeColor="accent1" w:themeShade="bf" w:val="2F5496"/>
      <w:sz w:val="32"/>
    </w:rPr>
  </w:style>
  <w:style w:type="character" w:styleId="Heading3Char" w:customStyle="1">
    <w:name w:val="Heading 3 Char"/>
    <w:basedOn w:val="DefaultParagraphFont"/>
    <w:link w:val="Heading3"/>
    <w:uiPriority w:val="9"/>
    <w:semiHidden/>
    <w:qFormat/>
    <w:rsid w:val="0010211f"/>
    <w:rPr>
      <w:rFonts w:ascii="Calibri" w:hAnsi="Calibri" w:eastAsia="" w:cs="" w:asciiTheme="minorHAnsi" w:cstheme="majorBidi" w:eastAsiaTheme="majorEastAsia" w:hAnsiTheme="minorHAnsi"/>
      <w:color w:themeColor="accent1" w:themeShade="bf" w:val="2F5496"/>
      <w:szCs w:val="28"/>
    </w:rPr>
  </w:style>
  <w:style w:type="character" w:styleId="Heading4Char" w:customStyle="1">
    <w:name w:val="Heading 4 Char"/>
    <w:basedOn w:val="DefaultParagraphFont"/>
    <w:link w:val="Heading4"/>
    <w:uiPriority w:val="9"/>
    <w:semiHidden/>
    <w:qFormat/>
    <w:rsid w:val="0010211f"/>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10211f"/>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10211f"/>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10211f"/>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10211f"/>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10211f"/>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10211f"/>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10211f"/>
    <w:rPr>
      <w:rFonts w:ascii="Calibri" w:hAnsi="Calibri" w:eastAsia="" w:cs="" w:asciiTheme="minorHAnsi" w:cstheme="majorBidi" w:eastAsiaTheme="majorEastAsia" w:hAnsiTheme="minorHAnsi"/>
      <w:color w:themeColor="text1" w:themeTint="a6" w:val="595959"/>
      <w:spacing w:val="15"/>
      <w:szCs w:val="28"/>
    </w:rPr>
  </w:style>
  <w:style w:type="character" w:styleId="QuoteChar" w:customStyle="1">
    <w:name w:val="Quote Char"/>
    <w:basedOn w:val="DefaultParagraphFont"/>
    <w:link w:val="Quote"/>
    <w:uiPriority w:val="29"/>
    <w:qFormat/>
    <w:rsid w:val="0010211f"/>
    <w:rPr>
      <w:i/>
      <w:iCs/>
      <w:color w:themeColor="text1" w:themeTint="bf" w:val="404040"/>
    </w:rPr>
  </w:style>
  <w:style w:type="character" w:styleId="IntenseEmphasis">
    <w:name w:val="Intense Emphasis"/>
    <w:basedOn w:val="DefaultParagraphFont"/>
    <w:uiPriority w:val="21"/>
    <w:qFormat/>
    <w:rsid w:val="0010211f"/>
    <w:rPr>
      <w:i/>
      <w:iCs/>
      <w:color w:themeColor="accent1" w:themeShade="bf" w:val="2F5496"/>
    </w:rPr>
  </w:style>
  <w:style w:type="character" w:styleId="IntenseQuoteChar" w:customStyle="1">
    <w:name w:val="Intense Quote Char"/>
    <w:basedOn w:val="DefaultParagraphFont"/>
    <w:link w:val="IntenseQuote"/>
    <w:uiPriority w:val="30"/>
    <w:qFormat/>
    <w:rsid w:val="0010211f"/>
    <w:rPr>
      <w:i/>
      <w:iCs/>
      <w:color w:themeColor="accent1" w:themeShade="bf" w:val="2F5496"/>
    </w:rPr>
  </w:style>
  <w:style w:type="character" w:styleId="IntenseReference">
    <w:name w:val="Intense Reference"/>
    <w:basedOn w:val="DefaultParagraphFont"/>
    <w:uiPriority w:val="32"/>
    <w:qFormat/>
    <w:rsid w:val="0010211f"/>
    <w:rPr>
      <w:b/>
      <w:bCs w:val="false"/>
      <w:smallCaps/>
      <w:color w:themeColor="accent1" w:themeShade="bf" w:val="2F5496"/>
      <w:spacing w:val="5"/>
    </w:rPr>
  </w:style>
  <w:style w:type="character" w:styleId="FootnoteTextChar" w:customStyle="1">
    <w:name w:val="Footnote Text Char"/>
    <w:basedOn w:val="DefaultParagraphFont"/>
    <w:link w:val="FootnoteText"/>
    <w:uiPriority w:val="99"/>
    <w:semiHidden/>
    <w:qFormat/>
    <w:rsid w:val="00304513"/>
    <w:rPr>
      <w:rFonts w:eastAsia="Calibri"/>
      <w:bCs w:val="false"/>
      <w:kern w:val="0"/>
      <w:sz w:val="20"/>
      <w:szCs w:val="20"/>
      <w14:ligatures w14:val="none"/>
    </w:rPr>
  </w:style>
  <w:style w:type="character" w:styleId="FootnoteCharacters">
    <w:name w:val="Footnote Characters"/>
    <w:basedOn w:val="DefaultParagraphFont"/>
    <w:uiPriority w:val="99"/>
    <w:semiHidden/>
    <w:unhideWhenUsed/>
    <w:qFormat/>
    <w:rsid w:val="00304513"/>
    <w:rPr>
      <w:vertAlign w:val="superscript"/>
    </w:rPr>
  </w:style>
  <w:style w:type="character" w:styleId="FootnoteReference">
    <w:name w:val="footnote reference"/>
    <w:rPr>
      <w:vertAlign w:val="superscript"/>
    </w:rPr>
  </w:style>
  <w:style w:type="character" w:styleId="HeaderChar" w:customStyle="1">
    <w:name w:val="Header Char"/>
    <w:basedOn w:val="DefaultParagraphFont"/>
    <w:link w:val="Header"/>
    <w:uiPriority w:val="99"/>
    <w:qFormat/>
    <w:rsid w:val="00604c17"/>
    <w:rPr>
      <w:rFonts w:eastAsia="Calibri"/>
      <w:bCs w:val="false"/>
      <w:kern w:val="0"/>
      <w:szCs w:val="16"/>
      <w14:ligatures w14:val="none"/>
    </w:rPr>
  </w:style>
  <w:style w:type="character" w:styleId="FooterChar" w:customStyle="1">
    <w:name w:val="Footer Char"/>
    <w:basedOn w:val="DefaultParagraphFont"/>
    <w:link w:val="Footer"/>
    <w:uiPriority w:val="99"/>
    <w:qFormat/>
    <w:rsid w:val="00604c17"/>
    <w:rPr>
      <w:rFonts w:eastAsia="Calibri"/>
      <w:bCs w:val="false"/>
      <w:kern w:val="0"/>
      <w:szCs w:val="16"/>
      <w14:ligatures w14:val="none"/>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10211f"/>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10211f"/>
    <w:pPr/>
    <w:rPr>
      <w:rFonts w:ascii="Calibri" w:hAnsi="Calibri" w:eastAsia="" w:cs="" w:asciiTheme="minorHAnsi" w:cstheme="majorBidi" w:eastAsiaTheme="majorEastAsia" w:hAnsiTheme="minorHAnsi"/>
      <w:color w:themeColor="text1" w:themeTint="a6" w:val="595959"/>
      <w:spacing w:val="15"/>
      <w:szCs w:val="28"/>
    </w:rPr>
  </w:style>
  <w:style w:type="paragraph" w:styleId="Quote">
    <w:name w:val="Quote"/>
    <w:basedOn w:val="Normal"/>
    <w:next w:val="Normal"/>
    <w:link w:val="QuoteChar"/>
    <w:uiPriority w:val="29"/>
    <w:qFormat/>
    <w:rsid w:val="0010211f"/>
    <w:pPr>
      <w:spacing w:before="160" w:after="160"/>
      <w:jc w:val="center"/>
    </w:pPr>
    <w:rPr>
      <w:i/>
      <w:iCs/>
      <w:color w:themeColor="text1" w:themeTint="bf" w:val="404040"/>
    </w:rPr>
  </w:style>
  <w:style w:type="paragraph" w:styleId="ListParagraph">
    <w:name w:val="List Paragraph"/>
    <w:basedOn w:val="Normal"/>
    <w:uiPriority w:val="34"/>
    <w:qFormat/>
    <w:rsid w:val="0010211f"/>
    <w:pPr>
      <w:spacing w:before="0" w:after="160"/>
      <w:ind w:left="720"/>
      <w:contextualSpacing/>
    </w:pPr>
    <w:rPr/>
  </w:style>
  <w:style w:type="paragraph" w:styleId="IntenseQuote">
    <w:name w:val="Intense Quote"/>
    <w:basedOn w:val="Normal"/>
    <w:next w:val="Normal"/>
    <w:link w:val="IntenseQuoteChar"/>
    <w:uiPriority w:val="30"/>
    <w:qFormat/>
    <w:rsid w:val="0010211f"/>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FootnoteText">
    <w:name w:val="footnote text"/>
    <w:basedOn w:val="Normal"/>
    <w:link w:val="FootnoteTextChar"/>
    <w:uiPriority w:val="99"/>
    <w:semiHidden/>
    <w:unhideWhenUsed/>
    <w:rsid w:val="00304513"/>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Normal"/>
    <w:link w:val="HeaderChar"/>
    <w:uiPriority w:val="99"/>
    <w:unhideWhenUsed/>
    <w:rsid w:val="00604c17"/>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604c17"/>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482AE-45B0-416F-813E-88690E12C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LibreOffice/26.2.6.3$Windows_X86_64 LibreOffice_project/8221e31b3ac356a1623c672912a3d2b492f7e3d1</Application>
  <AppVersion>15.0000</AppVersion>
  <Pages>4</Pages>
  <Words>1255</Words>
  <Characters>4525</Characters>
  <CharactersWithSpaces>5757</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2026-09-29T04:31:00Z</dcterms:created>
  <dc:creator>PC</dc:creator>
  <dc:description/>
  <dc:language>vi-VN</dc:language>
  <cp:lastModifiedBy>Admin</cp:lastModifiedBy>
  <cp:lastPrinted>2026-09-28T08:44:00Z</cp:lastPrinted>
  <dcterms:modified xsi:type="dcterms:W3CDTF">2026-09-29T07:26:00Z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