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DF" w:rsidRDefault="00084DDF" w:rsidP="00084DDF">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Phụ lục VI</w:t>
      </w:r>
    </w:p>
    <w:p w:rsidR="00084DDF" w:rsidRPr="00437753" w:rsidRDefault="00084DDF" w:rsidP="00084DDF">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CHUYÊN MÔN VÀ LĨNH VỰC CẤP CHỨNG CHỈ HÀNH NGHỀ HOẠT ĐỘNG XÂY DỰNG</w:t>
      </w:r>
    </w:p>
    <w:p w:rsidR="00084DDF" w:rsidRPr="00437753" w:rsidRDefault="00084DDF" w:rsidP="00084DDF">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theo Nghị định số 175/2024/NĐ-CP ngày 30 tháng 12 năm 2024 của Chính phủ)</w:t>
      </w:r>
    </w:p>
    <w:p w:rsidR="00084DDF" w:rsidRPr="004005FB" w:rsidRDefault="00084DDF" w:rsidP="00084DDF">
      <w:pPr>
        <w:shd w:val="clear" w:color="auto" w:fill="FFFFFF"/>
        <w:jc w:val="center"/>
        <w:rPr>
          <w:rFonts w:ascii="Arial" w:eastAsia="Times New Roman" w:hAnsi="Arial" w:cs="Arial"/>
          <w:sz w:val="20"/>
          <w:szCs w:val="20"/>
          <w:vertAlign w:val="superscript"/>
        </w:rPr>
      </w:pPr>
      <w:r w:rsidRPr="004005FB">
        <w:rPr>
          <w:rFonts w:ascii="Arial" w:eastAsia="Times New Roman" w:hAnsi="Arial" w:cs="Arial"/>
          <w:sz w:val="20"/>
          <w:szCs w:val="20"/>
          <w:vertAlign w:val="superscript"/>
        </w:rPr>
        <w:t>____________</w:t>
      </w:r>
    </w:p>
    <w:p w:rsidR="00084DDF" w:rsidRPr="00437753" w:rsidRDefault="00084DDF" w:rsidP="00084DDF">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497"/>
        <w:gridCol w:w="2271"/>
        <w:gridCol w:w="3827"/>
        <w:gridCol w:w="4313"/>
      </w:tblGrid>
      <w:tr w:rsidR="00084DDF" w:rsidRPr="00143148" w:rsidTr="004113E8">
        <w:tc>
          <w:tcPr>
            <w:tcW w:w="373" w:type="pct"/>
            <w:vMerge w:val="restart"/>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709" w:type="pct"/>
            <w:gridSpan w:val="2"/>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 CCHN</w:t>
            </w:r>
          </w:p>
        </w:tc>
        <w:tc>
          <w:tcPr>
            <w:tcW w:w="2918" w:type="pct"/>
            <w:gridSpan w:val="2"/>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Chuyên môn</w:t>
            </w:r>
          </w:p>
        </w:tc>
      </w:tr>
      <w:tr w:rsidR="00084DDF" w:rsidRPr="00143148" w:rsidTr="004113E8">
        <w:tc>
          <w:tcPr>
            <w:tcW w:w="373" w:type="pct"/>
            <w:vMerge/>
            <w:shd w:val="clear" w:color="auto" w:fill="auto"/>
            <w:vAlign w:val="center"/>
          </w:tcPr>
          <w:p w:rsidR="00084DDF" w:rsidRPr="00437753" w:rsidRDefault="00084DDF" w:rsidP="004113E8">
            <w:pPr>
              <w:jc w:val="center"/>
              <w:rPr>
                <w:rFonts w:ascii="Arial" w:eastAsia="Times New Roman" w:hAnsi="Arial" w:cs="Arial"/>
                <w:b/>
                <w:bCs/>
                <w:sz w:val="20"/>
                <w:szCs w:val="20"/>
              </w:rPr>
            </w:pPr>
          </w:p>
        </w:tc>
        <w:tc>
          <w:tcPr>
            <w:tcW w:w="895" w:type="pct"/>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w:t>
            </w:r>
          </w:p>
        </w:tc>
        <w:tc>
          <w:tcPr>
            <w:tcW w:w="814" w:type="pct"/>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Nội dung hành nghề</w:t>
            </w:r>
          </w:p>
        </w:tc>
        <w:tc>
          <w:tcPr>
            <w:tcW w:w="1372" w:type="pct"/>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Chuyên ngành đào tạo theo văn bằng</w:t>
            </w:r>
          </w:p>
        </w:tc>
        <w:tc>
          <w:tcPr>
            <w:tcW w:w="1546" w:type="pct"/>
            <w:shd w:val="clear" w:color="auto" w:fill="auto"/>
            <w:vAlign w:val="center"/>
          </w:tcPr>
          <w:p w:rsidR="00084DDF" w:rsidRPr="00437753" w:rsidRDefault="00084DDF" w:rsidP="004113E8">
            <w:pPr>
              <w:jc w:val="center"/>
              <w:rPr>
                <w:rFonts w:ascii="Arial" w:eastAsia="Times New Roman" w:hAnsi="Arial" w:cs="Arial"/>
                <w:b/>
                <w:bCs/>
                <w:sz w:val="20"/>
                <w:szCs w:val="20"/>
              </w:rPr>
            </w:pPr>
            <w:r w:rsidRPr="00437753">
              <w:rPr>
                <w:rFonts w:ascii="Arial" w:eastAsia="Times New Roman" w:hAnsi="Arial" w:cs="Arial"/>
                <w:b/>
                <w:bCs/>
                <w:sz w:val="20"/>
                <w:szCs w:val="20"/>
              </w:rPr>
              <w:t>Chuyên môn đào tạo phù hợp thể hiện tại bảng điểm/phụ lục văn bằng trong trường hợp văn bằng không ghi rõ</w:t>
            </w:r>
            <w:r w:rsidRPr="00437753">
              <w:rPr>
                <w:rFonts w:ascii="Arial" w:eastAsia="Times New Roman" w:hAnsi="Arial" w:cs="Arial"/>
                <w:b/>
                <w:bCs/>
                <w:sz w:val="20"/>
                <w:szCs w:val="20"/>
              </w:rPr>
              <w:br/>
              <w:t>chuyên ngành đào tạo</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1</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Lĩnh vực khảo sát xây dựng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1.1</w:t>
            </w: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Khảo sát địa hình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trắc địa, bản đồ hoặc các chuyên ngành kỹ thuật xây dựng có liên quan.</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trắc địa, bản đồ.</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1.2</w:t>
            </w: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Khảo sát địa chất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địa chất công trình, địa chất thủy văn hoặc các chuyên ngành kỹ thuật xây dựng có liên quan.</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địa chất công trình, địa chất thủy văn.</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2</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Lĩnh vực thiết kế quy hoạch xây dựng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Thiết kế quy hoạch xây dựng</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1546" w:type="pct"/>
            <w:shd w:val="clear" w:color="auto" w:fill="auto"/>
          </w:tcPr>
          <w:p w:rsidR="00084DDF" w:rsidRPr="00437753" w:rsidRDefault="00084DDF" w:rsidP="004113E8">
            <w:pPr>
              <w:rPr>
                <w:rFonts w:ascii="Arial" w:eastAsia="Times New Roman" w:hAnsi="Arial" w:cs="Arial"/>
                <w:sz w:val="20"/>
                <w:szCs w:val="20"/>
              </w:rPr>
            </w:pP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3</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Lĩnh vực thiết kế xây dựng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3.1</w:t>
            </w:r>
          </w:p>
        </w:tc>
        <w:tc>
          <w:tcPr>
            <w:tcW w:w="895" w:type="pct"/>
            <w:vMerge w:val="restar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Thiết kế xây dựng công trình</w:t>
            </w: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Kết cấu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kết cấu công trình dân dụng và công nghiệp.</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3.2</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Khai thác mỏ</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ngầm và mỏ.</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ngầm và mỏ.</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3.3</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Đường bộ</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bộ.</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bộ.</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3.4</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Đường sắt</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sắt.</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sắt.</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3.5</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Cầu - Hầm</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cầu, hầm.</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cầu, hầm.</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lastRenderedPageBreak/>
              <w:t>3.6</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Đường thủy nội địa - Hàng hải</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thủy nội địa, cảng đường thủy, công trình trên sông, công trình cảng biển</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thủy nội địa, cảng đường thủy, công trình trên sông, công trình cảng biển.</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3.7</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Thủy lợi, đê điều</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thủy lợi, thủy điện, đê điều.</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thủy lợi, thủy điện, đê điều.</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3.8</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Cấp nước - thoát nước</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công trình cấp nước - thoát nước.</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cấp nước - thoát nước.</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3.9</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Công trình Xử lý chất thải rắn</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kỹ thuật môi trường.</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môi trường.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3.10</w:t>
            </w:r>
          </w:p>
        </w:tc>
        <w:tc>
          <w:tcPr>
            <w:tcW w:w="895" w:type="pct"/>
            <w:vMerge w:val="restar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Thiết kế cơ – điện công trình</w:t>
            </w: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Hệ thống điện</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điện.</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3.11</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Hệ thống cấp - thoát nước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cấp nước, thoát nước trong công trình.</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cấp nước, thoát nước trong công trình.</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3.12</w:t>
            </w:r>
          </w:p>
        </w:tc>
        <w:tc>
          <w:tcPr>
            <w:tcW w:w="895" w:type="pct"/>
            <w:vMerge/>
            <w:shd w:val="clear" w:color="auto" w:fill="auto"/>
          </w:tcPr>
          <w:p w:rsidR="00084DDF" w:rsidRPr="00437753" w:rsidRDefault="00084DDF" w:rsidP="004113E8">
            <w:pPr>
              <w:rPr>
                <w:rFonts w:ascii="Arial" w:eastAsia="Times New Roman" w:hAnsi="Arial" w:cs="Arial"/>
                <w:sz w:val="20"/>
                <w:szCs w:val="20"/>
              </w:rPr>
            </w:pPr>
          </w:p>
        </w:tc>
        <w:tc>
          <w:tcPr>
            <w:tcW w:w="814"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Hệ thống thông gió - cấp thoát nhiệt</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kỹ thuật thông gió - cấp thoát nhiệt, nhiệt lạnh, vi khí hậu.</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thông gió - cấp thoát nhiệt, nhiệt lạnh, vi khí hậu.</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4</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Lĩnh vực giám sát thi công xây dựng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4.1</w:t>
            </w: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Giám sát công tác xây dựng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4.2</w:t>
            </w: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Giám sát công tác lắp đặt thiết bị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5</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Lĩnh vực định giá xây dựng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Định giá xây dựng</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kinh tế xây dựng, kinh tế kỹ thuật và các ngành kỹ thuật liên quan.</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kinh tế xây dựng, kinh tế kỹ thuật và các ngành kỹ thuật liên quan.</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6</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Quản lý dự án đầu tư xây dựng</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Quản lý dự án đầu tư xây dựng</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 xml:space="preserve">Chuyên ngành đào tạo về kết cấu công trình dân dụng, công nghiệp, công trình </w:t>
            </w:r>
            <w:r w:rsidRPr="00437753">
              <w:rPr>
                <w:rFonts w:ascii="Arial" w:eastAsia="Times New Roman" w:hAnsi="Arial" w:cs="Arial"/>
                <w:sz w:val="20"/>
                <w:szCs w:val="20"/>
              </w:rPr>
              <w:lastRenderedPageBreak/>
              <w:t>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lastRenderedPageBreak/>
              <w:t xml:space="preserve">Có môn học về kết cấu công trình dân dụng, công nghiệp, công trình ngầm và mỏ, công </w:t>
            </w:r>
            <w:r w:rsidRPr="00437753">
              <w:rPr>
                <w:rFonts w:ascii="Arial" w:eastAsia="Times New Roman" w:hAnsi="Arial" w:cs="Arial"/>
                <w:sz w:val="20"/>
                <w:szCs w:val="20"/>
              </w:rPr>
              <w:lastRenderedPageBreak/>
              <w:t>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lastRenderedPageBreak/>
              <w:t>7</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Chỉ huy trưởng công trường – Lĩnh vực không yêu cầu cấp chứng chỉ hành nghề</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7.1</w:t>
            </w: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Chỉ huy trưởng công tác thi công xây dựng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thủy điện,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sz w:val="20"/>
                <w:szCs w:val="20"/>
              </w:rPr>
              <w:t>7.2</w:t>
            </w: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Chỉ huy trưởng công tác lắp đặt thiết bị công trình</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r w:rsidRPr="00437753">
              <w:rPr>
                <w:rFonts w:ascii="Arial" w:eastAsia="Times New Roman" w:hAnsi="Arial" w:cs="Arial"/>
                <w:b/>
                <w:bCs/>
                <w:sz w:val="20"/>
                <w:szCs w:val="20"/>
              </w:rPr>
              <w:t>8</w:t>
            </w:r>
          </w:p>
        </w:tc>
        <w:tc>
          <w:tcPr>
            <w:tcW w:w="4627" w:type="pct"/>
            <w:gridSpan w:val="4"/>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sz w:val="20"/>
                <w:szCs w:val="20"/>
              </w:rPr>
              <w:t>Kiểm định xây dựng - Lĩnh vực không yêu cầu chứng chỉ hành nghề</w:t>
            </w:r>
          </w:p>
        </w:tc>
      </w:tr>
      <w:tr w:rsidR="00084DDF" w:rsidRPr="00143148" w:rsidTr="004113E8">
        <w:tc>
          <w:tcPr>
            <w:tcW w:w="373" w:type="pct"/>
            <w:shd w:val="clear" w:color="auto" w:fill="auto"/>
          </w:tcPr>
          <w:p w:rsidR="00084DDF" w:rsidRPr="00437753" w:rsidRDefault="00084DDF" w:rsidP="004113E8">
            <w:pPr>
              <w:jc w:val="center"/>
              <w:rPr>
                <w:rFonts w:ascii="Arial" w:eastAsia="Times New Roman" w:hAnsi="Arial" w:cs="Arial"/>
                <w:sz w:val="20"/>
                <w:szCs w:val="20"/>
              </w:rPr>
            </w:pPr>
          </w:p>
        </w:tc>
        <w:tc>
          <w:tcPr>
            <w:tcW w:w="1709" w:type="pct"/>
            <w:gridSpan w:val="2"/>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Kiểm định xây dựng</w:t>
            </w:r>
          </w:p>
        </w:tc>
        <w:tc>
          <w:tcPr>
            <w:tcW w:w="1372" w:type="pct"/>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sz w:val="20"/>
                <w:szCs w:val="20"/>
              </w:rPr>
              <w:t>Chuyên ngành đào tạo tương ứng với chuyên ngành đào tạo của lĩnh vực thiết kế quy định từ mục 3.1 đến mục 3.12 Phụ lục này, phù hợp với nội dung kiểm định.</w:t>
            </w:r>
          </w:p>
        </w:tc>
        <w:tc>
          <w:tcPr>
            <w:tcW w:w="1546" w:type="pct"/>
            <w:shd w:val="clear" w:color="auto" w:fill="auto"/>
          </w:tcPr>
          <w:p w:rsidR="00084DDF" w:rsidRPr="00437753" w:rsidRDefault="00084DDF" w:rsidP="004113E8">
            <w:pPr>
              <w:rPr>
                <w:rFonts w:ascii="Arial" w:eastAsia="Times New Roman" w:hAnsi="Arial" w:cs="Arial"/>
                <w:sz w:val="20"/>
                <w:szCs w:val="20"/>
              </w:rPr>
            </w:pPr>
            <w:r>
              <w:rPr>
                <w:rFonts w:ascii="Arial" w:eastAsia="Times New Roman" w:hAnsi="Arial" w:cs="Arial"/>
                <w:sz w:val="20"/>
                <w:szCs w:val="20"/>
              </w:rPr>
              <w:t xml:space="preserve">Có môn học tương </w:t>
            </w:r>
            <w:r w:rsidRPr="00437753">
              <w:rPr>
                <w:rFonts w:ascii="Arial" w:eastAsia="Times New Roman" w:hAnsi="Arial" w:cs="Arial"/>
                <w:sz w:val="20"/>
                <w:szCs w:val="20"/>
              </w:rPr>
              <w:t>ứng với các nội dung của lĩnh vực thiết kế quy định từ mục 3.1 đến mục 3.12 Phụ lục này, phù hợp với nội dung kiểm định.</w:t>
            </w:r>
          </w:p>
        </w:tc>
      </w:tr>
      <w:tr w:rsidR="00084DDF" w:rsidRPr="00143148" w:rsidTr="004113E8">
        <w:tc>
          <w:tcPr>
            <w:tcW w:w="5000" w:type="pct"/>
            <w:gridSpan w:val="5"/>
            <w:shd w:val="clear" w:color="auto" w:fill="auto"/>
          </w:tcPr>
          <w:p w:rsidR="00084DDF" w:rsidRPr="00437753" w:rsidRDefault="00084DDF" w:rsidP="004113E8">
            <w:pPr>
              <w:rPr>
                <w:rFonts w:ascii="Arial" w:eastAsia="Times New Roman" w:hAnsi="Arial" w:cs="Arial"/>
                <w:sz w:val="20"/>
                <w:szCs w:val="20"/>
              </w:rPr>
            </w:pPr>
            <w:r w:rsidRPr="00437753">
              <w:rPr>
                <w:rFonts w:ascii="Arial" w:eastAsia="Times New Roman" w:hAnsi="Arial" w:cs="Arial"/>
                <w:b/>
                <w:bCs/>
                <w:i/>
                <w:iCs/>
                <w:sz w:val="20"/>
                <w:szCs w:val="20"/>
              </w:rPr>
              <w:t>*Ghi chú:</w:t>
            </w:r>
            <w:r w:rsidRPr="00437753">
              <w:rPr>
                <w:rFonts w:ascii="Arial" w:eastAsia="Times New Roman" w:hAnsi="Arial" w:cs="Arial"/>
                <w:sz w:val="20"/>
                <w:szCs w:val="20"/>
              </w:rPr>
              <w:br/>
              <w:t>- Đối với văn bằng đào tạo không thuộc hệ thống giáo dục Việt Nam, hội đồng xét cấp chứng chỉ hành nghề căn cứ bảng điểm/phụ lục vă</w:t>
            </w:r>
            <w:r>
              <w:rPr>
                <w:rFonts w:ascii="Arial" w:eastAsia="Times New Roman" w:hAnsi="Arial" w:cs="Arial"/>
                <w:sz w:val="20"/>
                <w:szCs w:val="20"/>
              </w:rPr>
              <w:t>n bằng để đánh giá tương đương.</w:t>
            </w:r>
            <w:r w:rsidRPr="00437753">
              <w:rPr>
                <w:rFonts w:ascii="Arial" w:eastAsia="Times New Roman" w:hAnsi="Arial" w:cs="Arial"/>
                <w:sz w:val="20"/>
                <w:szCs w:val="20"/>
              </w:rPr>
              <w:b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rsidR="00084DDF" w:rsidRDefault="00084DDF" w:rsidP="00084DDF">
      <w:pPr>
        <w:pBdr>
          <w:bottom w:val="single" w:sz="6" w:space="0" w:color="EAECEF"/>
        </w:pBdr>
        <w:shd w:val="clear" w:color="auto" w:fill="FFFFFF"/>
        <w:spacing w:after="120"/>
        <w:ind w:firstLine="720"/>
        <w:jc w:val="both"/>
        <w:rPr>
          <w:rFonts w:ascii="Arial" w:eastAsia="Times New Roman" w:hAnsi="Arial" w:cs="Arial"/>
          <w:sz w:val="20"/>
          <w:szCs w:val="20"/>
          <w:u w:val="single"/>
        </w:rPr>
      </w:pPr>
    </w:p>
    <w:p w:rsidR="00084DDF" w:rsidRDefault="00084DDF" w:rsidP="00084DDF">
      <w:pPr>
        <w:pBdr>
          <w:bottom w:val="single" w:sz="6" w:space="0" w:color="EAECEF"/>
        </w:pBdr>
        <w:shd w:val="clear" w:color="auto" w:fill="FFFFFF"/>
        <w:spacing w:after="120"/>
        <w:jc w:val="both"/>
        <w:rPr>
          <w:rFonts w:ascii="Arial" w:eastAsia="Times New Roman" w:hAnsi="Arial" w:cs="Arial"/>
          <w:b/>
          <w:bCs/>
          <w:sz w:val="20"/>
          <w:szCs w:val="20"/>
        </w:rPr>
        <w:sectPr w:rsidR="00084DDF" w:rsidSect="005034C1">
          <w:pgSz w:w="16838" w:h="11906" w:orient="landscape" w:code="9"/>
          <w:pgMar w:top="1440" w:right="1440" w:bottom="1440" w:left="1440" w:header="0" w:footer="0" w:gutter="0"/>
          <w:cols w:space="720"/>
          <w:docGrid w:linePitch="360"/>
        </w:sectPr>
      </w:pPr>
      <w:bookmarkStart w:id="0" w:name="_GoBack"/>
      <w:bookmarkEnd w:id="0"/>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DF"/>
    <w:rsid w:val="00084DDF"/>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0DEE1-DD73-45F5-8880-210959D9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D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2025-01-10T04:51:00Z</dcterms:created>
  <dcterms:modified xsi:type="dcterms:W3CDTF">2025-01-10T04:52:00Z</dcterms:modified>
</cp:coreProperties>
</file>