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97" w:rsidRPr="003F2D6F" w:rsidRDefault="00741397" w:rsidP="00741397">
      <w:pPr>
        <w:widowControl w:val="0"/>
        <w:spacing w:before="80" w:after="80"/>
        <w:ind w:right="140" w:firstLine="709"/>
        <w:rPr>
          <w:szCs w:val="24"/>
          <w:lang w:val="pl-PL"/>
        </w:rPr>
      </w:pPr>
      <w:r w:rsidRPr="003F2D6F">
        <w:rPr>
          <w:szCs w:val="24"/>
          <w:lang w:val="pl-PL"/>
        </w:rPr>
        <w:t xml:space="preserve">(8) </w:t>
      </w:r>
      <w:r w:rsidRPr="003F2D6F">
        <w:rPr>
          <w:szCs w:val="24"/>
          <w:lang w:val="vi-VN"/>
        </w:rPr>
        <w:t>Đối với</w:t>
      </w:r>
      <w:r w:rsidRPr="003F2D6F">
        <w:rPr>
          <w:szCs w:val="24"/>
          <w:lang w:val="pl-PL"/>
        </w:rPr>
        <w:t xml:space="preserve"> các hợp đồng mà nhà thầu đã tham gia với tư cách là thành viên liên danh hoặc nhà thầu phụ thì chỉ tính giá trị phần việc do nhà thầu thực hiện.</w:t>
      </w:r>
    </w:p>
    <w:p w:rsidR="00741397" w:rsidRPr="003F2D6F" w:rsidRDefault="00741397" w:rsidP="00741397">
      <w:pPr>
        <w:widowControl w:val="0"/>
        <w:spacing w:before="80" w:after="80"/>
        <w:ind w:right="140" w:firstLine="709"/>
        <w:rPr>
          <w:szCs w:val="24"/>
          <w:lang w:val="pl-PL"/>
        </w:rPr>
      </w:pPr>
      <w:r w:rsidRPr="003F2D6F">
        <w:rPr>
          <w:szCs w:val="24"/>
          <w:lang w:val="pl-PL"/>
        </w:rPr>
        <w:t>(9) Ghi thời gian yêu cầu, thông thường là từ 03 năm đến 05 năm trước năm có thời điểm đóng thầu. Ví dụ: từ ngày 01 tháng 01 năm 2019 đến thời điểm đóng thầu.</w:t>
      </w:r>
    </w:p>
    <w:p w:rsidR="00741397" w:rsidRPr="003F2D6F" w:rsidRDefault="00741397" w:rsidP="00741397">
      <w:pPr>
        <w:widowControl w:val="0"/>
        <w:spacing w:before="80" w:after="80"/>
        <w:ind w:right="140" w:firstLine="709"/>
        <w:rPr>
          <w:szCs w:val="24"/>
          <w:lang w:val="pl-PL"/>
        </w:rPr>
      </w:pPr>
      <w:r w:rsidRPr="003F2D6F">
        <w:rPr>
          <w:szCs w:val="24"/>
          <w:lang w:val="pl-PL"/>
        </w:rPr>
        <w:t xml:space="preserve">(10) Tương tự về tính chất: hàng hóa có tính chất tương tự là hàng hóa đáp ứng 1 trong 2 tiêu chí sau: (i) Tiêu chí 1: là hàng hóa thuộc cùng lĩnh vực, chủng loại (chủ đầu tư nêu lĩnh vực, chủng loại ví dụ thiết bị y tế, thiết bị điện, thiết bị văn phòng...) hoặc (ii)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5" w:history="1">
        <w:r w:rsidRPr="003F2D6F">
          <w:rPr>
            <w:szCs w:val="24"/>
            <w:lang w:val="pl-PL"/>
          </w:rPr>
          <w:t>https://www.customs.gov.vn</w:t>
        </w:r>
      </w:hyperlink>
      <w:r w:rsidRPr="003F2D6F">
        <w:rPr>
          <w:szCs w:val="24"/>
          <w:lang w:val="pl-PL"/>
        </w:rPr>
        <w:t xml:space="preserve">). Nhà thầu cung cấp hàng hóa thuộc cùng lĩnh vực, chủng loại do E-HSMT yêu cầu hoặc cùng 4 số đầu tiên mã HS đều được coi là có tính chất tương tự với hàng hóa thuộc gói thầu. </w:t>
      </w:r>
    </w:p>
    <w:p w:rsidR="00741397" w:rsidRPr="003F2D6F" w:rsidRDefault="00741397" w:rsidP="00741397">
      <w:pPr>
        <w:widowControl w:val="0"/>
        <w:spacing w:before="80" w:after="80"/>
        <w:ind w:right="140" w:firstLine="709"/>
        <w:rPr>
          <w:i/>
          <w:iCs/>
          <w:szCs w:val="24"/>
          <w:lang w:val="pl-PL"/>
        </w:rPr>
      </w:pPr>
      <w:r w:rsidRPr="003F2D6F">
        <w:rPr>
          <w:i/>
          <w:iCs/>
          <w:szCs w:val="24"/>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chủng loại theo yêu cầu của E-HSMT (Tiêu chí 1).</w:t>
      </w:r>
    </w:p>
    <w:p w:rsidR="00741397" w:rsidRPr="003F2D6F" w:rsidRDefault="00741397" w:rsidP="00741397">
      <w:pPr>
        <w:widowControl w:val="0"/>
        <w:spacing w:before="80" w:after="80"/>
        <w:ind w:right="140" w:firstLine="709"/>
        <w:rPr>
          <w:szCs w:val="24"/>
          <w:lang w:val="pl-PL"/>
        </w:rPr>
      </w:pPr>
      <w:r w:rsidRPr="003F2D6F">
        <w:rPr>
          <w:szCs w:val="24"/>
          <w:lang w:val="pl-PL"/>
        </w:rPr>
        <w:t>- 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rsidR="00741397" w:rsidRPr="003F2D6F" w:rsidRDefault="00741397" w:rsidP="00741397">
      <w:pPr>
        <w:widowControl w:val="0"/>
        <w:spacing w:before="80" w:after="80"/>
        <w:ind w:right="140" w:firstLine="709"/>
        <w:rPr>
          <w:szCs w:val="24"/>
          <w:lang w:val="pl-PL"/>
        </w:rPr>
      </w:pPr>
      <w:r w:rsidRPr="003F2D6F">
        <w:rPr>
          <w:szCs w:val="24"/>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rsidR="00741397" w:rsidRPr="003F2D6F" w:rsidRDefault="00741397" w:rsidP="00741397">
      <w:pPr>
        <w:widowControl w:val="0"/>
        <w:spacing w:before="80" w:after="80"/>
        <w:ind w:right="140" w:firstLine="709"/>
        <w:rPr>
          <w:szCs w:val="24"/>
          <w:lang w:val="pl-PL"/>
        </w:rPr>
      </w:pPr>
      <w:r w:rsidRPr="003F2D6F">
        <w:rPr>
          <w:szCs w:val="24"/>
          <w:lang w:val="pl-PL"/>
        </w:rPr>
        <w:t>- Trường hợp chủ đầu tư, bên mời thầu khó khăn trong việc xác định mã HS của hàng hóa theo Tiêu chí 2, E-HSMT được đưa ra quy định tương tự về lĩnh vực, chủng loại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rsidR="00741397" w:rsidRPr="003F2D6F" w:rsidRDefault="00741397" w:rsidP="00741397">
      <w:pPr>
        <w:widowControl w:val="0"/>
        <w:spacing w:before="80" w:after="80"/>
        <w:ind w:right="140" w:firstLine="709"/>
        <w:rPr>
          <w:szCs w:val="24"/>
          <w:lang w:val="pl-PL"/>
        </w:rPr>
      </w:pPr>
      <w:r w:rsidRPr="003F2D6F">
        <w:rPr>
          <w:szCs w:val="24"/>
          <w:lang w:val="pl-PL"/>
        </w:rPr>
        <w:t>- Trường hợp gói thầu có nhiều hạng mục thì chỉ quy định mã HS cho các hạng mục chính của gói thầu.</w:t>
      </w:r>
    </w:p>
    <w:p w:rsidR="00741397" w:rsidRPr="003F2D6F" w:rsidRDefault="00741397" w:rsidP="00741397">
      <w:pPr>
        <w:widowControl w:val="0"/>
        <w:spacing w:before="120" w:after="120" w:line="252" w:lineRule="auto"/>
        <w:ind w:right="140" w:firstLine="709"/>
        <w:rPr>
          <w:szCs w:val="24"/>
          <w:lang w:val="pl-PL"/>
        </w:rPr>
      </w:pPr>
      <w:r w:rsidRPr="003F2D6F">
        <w:rPr>
          <w:szCs w:val="24"/>
          <w:lang w:val="pl-PL"/>
        </w:rPr>
        <w:t>(11) Quy mô của hợp đồng tương tự:</w:t>
      </w:r>
    </w:p>
    <w:p w:rsidR="00741397" w:rsidRPr="003F2D6F" w:rsidRDefault="00741397" w:rsidP="00741397">
      <w:pPr>
        <w:widowControl w:val="0"/>
        <w:spacing w:before="120" w:after="120" w:line="252" w:lineRule="auto"/>
        <w:ind w:right="140" w:firstLine="709"/>
        <w:rPr>
          <w:szCs w:val="24"/>
          <w:lang w:val="pl-PL"/>
        </w:rPr>
      </w:pPr>
      <w:r w:rsidRPr="003F2D6F">
        <w:rPr>
          <w:szCs w:val="24"/>
          <w:lang w:val="pl-PL"/>
        </w:rPr>
        <w:t xml:space="preserve">Trường hợp gói thầu có nhiều hạng mục hàng hóa thì phải ghi giá trị tương ứng của từng hạng mục hóa để làm cơ sở đánh giá kinh nghiệm thực hiện hợp đồng cung cấp hàng hóa tương tự của nhà thầu. </w:t>
      </w:r>
    </w:p>
    <w:p w:rsidR="00741397" w:rsidRPr="003F2D6F" w:rsidRDefault="00741397" w:rsidP="00741397">
      <w:pPr>
        <w:widowControl w:val="0"/>
        <w:spacing w:before="120" w:after="120" w:line="252" w:lineRule="auto"/>
        <w:ind w:right="140" w:firstLine="709"/>
        <w:rPr>
          <w:szCs w:val="24"/>
          <w:lang w:val="pl-PL"/>
        </w:rPr>
      </w:pPr>
      <w:r w:rsidRPr="003F2D6F">
        <w:rPr>
          <w:szCs w:val="24"/>
          <w:lang w:val="pl-PL"/>
        </w:rPr>
        <w:t xml:space="preserve">Trường hợp gói thầu bao gồm nhiều loại hàng hóa khác nhau thì tùy theo tính chất, quy mô gói thầu để Bên mời thầu đưa ra yêu cầu về quy mô tương tự trên cơ sở các loại hàng hóa chính của gói thầu (phải nêu rõ các hàng hóa chính) hoặc yêu cầu về quy mô tương tự trên cơ sở </w:t>
      </w:r>
      <w:r w:rsidRPr="003F2D6F">
        <w:rPr>
          <w:szCs w:val="24"/>
          <w:lang w:val="pl-PL"/>
        </w:rPr>
        <w:lastRenderedPageBreak/>
        <w:t xml:space="preserve">tất cả các loại hàng hóa của gói thầu, trong đó ghi quy mô yêu cầu đối với mỗi hạng mục hàng hóa chính hoặc mỗi hạng mục hàng hóa.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3F2D6F">
        <w:rPr>
          <w:b/>
          <w:szCs w:val="24"/>
          <w:lang w:val="pl-PL"/>
        </w:rPr>
        <w:t>Y/1,4</w:t>
      </w:r>
      <w:r w:rsidRPr="003F2D6F">
        <w:rPr>
          <w:i/>
          <w:szCs w:val="24"/>
          <w:lang w:val="pl-PL"/>
        </w:rPr>
        <w:t xml:space="preserve"> </w:t>
      </w:r>
      <w:r w:rsidRPr="003F2D6F">
        <w:rPr>
          <w:szCs w:val="24"/>
          <w:lang w:val="pl-PL"/>
        </w:rPr>
        <w:t xml:space="preserve">và/hoặc chia gói thầu thành các phần (lô) để tăng tính cạnh tranh cho gói thầu. Trong đó, </w:t>
      </w:r>
      <w:r w:rsidRPr="003F2D6F">
        <w:rPr>
          <w:b/>
          <w:szCs w:val="24"/>
          <w:lang w:val="pl-PL"/>
        </w:rPr>
        <w:t>Y</w:t>
      </w:r>
      <w:r w:rsidRPr="003F2D6F">
        <w:rPr>
          <w:szCs w:val="24"/>
          <w:lang w:val="pl-PL"/>
        </w:rPr>
        <w:t xml:space="preserve"> thông thường khoảng 70% giá trị của gói thầu đang xét; riêng đối với trường hợp gói thầu có </w:t>
      </w:r>
      <w:r w:rsidRPr="003F2D6F">
        <w:rPr>
          <w:szCs w:val="24"/>
          <w:lang w:val="pt-BR"/>
        </w:rPr>
        <w:t>một số hạng mục hàng hóa có cùng mã Chương, mã Nhóm thì việc xác định quy mô hợp đồng tương tự được xác định</w:t>
      </w:r>
      <w:r w:rsidRPr="003F2D6F">
        <w:rPr>
          <w:szCs w:val="24"/>
          <w:lang w:val="pl-PL"/>
        </w:rPr>
        <w:t xml:space="preserve"> theo điểm (iii) và điểm (iv) ghi chú này.</w:t>
      </w:r>
    </w:p>
    <w:p w:rsidR="00741397" w:rsidRPr="003F2D6F" w:rsidRDefault="00741397" w:rsidP="00741397">
      <w:pPr>
        <w:widowControl w:val="0"/>
        <w:spacing w:before="60" w:after="60"/>
        <w:ind w:firstLine="709"/>
        <w:rPr>
          <w:szCs w:val="24"/>
          <w:lang w:val="nl-NL"/>
        </w:rPr>
      </w:pPr>
      <w:r w:rsidRPr="003F2D6F">
        <w:rPr>
          <w:szCs w:val="24"/>
          <w:lang w:val="nl-NL"/>
        </w:rPr>
        <w:t xml:space="preserve">Đối với gói thầu mua sắm hàng hóa có khối lượng, số lượng công việc căn cứ nhu cầu theo các năm và thời gian thực hiện gói thầu dài hơn 1 năm thì </w:t>
      </w:r>
      <w:r w:rsidRPr="003F2D6F">
        <w:rPr>
          <w:szCs w:val="24"/>
          <w:lang w:val="pl-PL"/>
        </w:rPr>
        <w:t xml:space="preserve">E-HSMT yêu cầu về giá trị của hợp đồng tương tự trong 01 chu kỳ (01 năm) </w:t>
      </w:r>
      <w:r w:rsidRPr="003F2D6F">
        <w:rPr>
          <w:szCs w:val="24"/>
          <w:lang w:val="nl-NL"/>
        </w:rPr>
        <w:t>mà không xác định yêu cầu theo tổng số năm.</w:t>
      </w:r>
    </w:p>
    <w:p w:rsidR="00741397" w:rsidRPr="003F2D6F" w:rsidRDefault="00741397" w:rsidP="00741397">
      <w:pPr>
        <w:widowControl w:val="0"/>
        <w:spacing w:before="60" w:after="60"/>
        <w:ind w:firstLine="709"/>
        <w:rPr>
          <w:i/>
          <w:iCs/>
          <w:szCs w:val="24"/>
          <w:lang w:val="nl-NL"/>
        </w:rPr>
      </w:pPr>
      <w:r w:rsidRPr="003F2D6F">
        <w:rPr>
          <w:i/>
          <w:iCs/>
          <w:szCs w:val="24"/>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70% x 100/2 =35 tỷ đồng. </w:t>
      </w:r>
    </w:p>
    <w:p w:rsidR="00741397" w:rsidRPr="003F2D6F" w:rsidRDefault="00741397" w:rsidP="00741397">
      <w:pPr>
        <w:widowControl w:val="0"/>
        <w:spacing w:before="120" w:after="120" w:line="252" w:lineRule="auto"/>
        <w:ind w:firstLine="709"/>
        <w:rPr>
          <w:szCs w:val="24"/>
          <w:lang w:val="pl-PL"/>
        </w:rPr>
      </w:pPr>
      <w:r w:rsidRPr="003F2D6F">
        <w:rPr>
          <w:szCs w:val="24"/>
          <w:lang w:val="pl-PL"/>
        </w:rPr>
        <w:t>Việc đánh giá về quy mô của hợp đồng tương tự căn cứ vào giá trị hoàn thành, được nghiệm thu như sau:</w:t>
      </w:r>
    </w:p>
    <w:p w:rsidR="00741397" w:rsidRPr="003F2D6F" w:rsidRDefault="00741397" w:rsidP="00741397">
      <w:pPr>
        <w:widowControl w:val="0"/>
        <w:spacing w:before="120" w:after="120" w:line="252" w:lineRule="auto"/>
        <w:ind w:firstLine="709"/>
        <w:rPr>
          <w:szCs w:val="24"/>
          <w:lang w:val="pl-PL"/>
        </w:rPr>
      </w:pPr>
      <w:r w:rsidRPr="003F2D6F" w:rsidDel="001A07FC">
        <w:rPr>
          <w:szCs w:val="24"/>
          <w:lang w:val="pl-PL"/>
        </w:rPr>
        <w:t xml:space="preserve"> </w:t>
      </w:r>
      <w:r w:rsidRPr="003F2D6F">
        <w:rPr>
          <w:szCs w:val="24"/>
          <w:lang w:val="pl-PL"/>
        </w:rPr>
        <w:t xml:space="preserve">(i) Có ít nhất 01 hợp đồng hoàn thành cung cấp đầy đủ các loại hàng hóa tương tự có giá trị đáp ứng tối thiểu là </w:t>
      </w:r>
      <w:r w:rsidRPr="003F2D6F">
        <w:rPr>
          <w:b/>
          <w:szCs w:val="24"/>
          <w:lang w:val="pl-PL"/>
        </w:rPr>
        <w:t>Y</w:t>
      </w:r>
      <w:r w:rsidRPr="003F2D6F">
        <w:rPr>
          <w:szCs w:val="24"/>
          <w:lang w:val="pl-PL"/>
        </w:rPr>
        <w:t xml:space="preserve"> (hoặc </w:t>
      </w:r>
      <w:r w:rsidRPr="003F2D6F">
        <w:rPr>
          <w:b/>
          <w:szCs w:val="24"/>
          <w:lang w:val="pl-PL"/>
        </w:rPr>
        <w:t xml:space="preserve">Y/1,4 </w:t>
      </w:r>
      <w:r w:rsidRPr="003F2D6F">
        <w:rPr>
          <w:szCs w:val="24"/>
          <w:lang w:val="pl-PL"/>
        </w:rPr>
        <w:t>nếu thuộc trường hợp mua sắm tập trung hoặc mua sắm hàng hóa có số lượng, khối lượng mời thầu lớn) hoặc</w:t>
      </w:r>
    </w:p>
    <w:p w:rsidR="00741397" w:rsidRPr="003F2D6F" w:rsidRDefault="00741397" w:rsidP="00741397">
      <w:pPr>
        <w:widowControl w:val="0"/>
        <w:spacing w:before="120" w:after="120" w:line="252" w:lineRule="auto"/>
        <w:ind w:firstLine="709"/>
        <w:rPr>
          <w:szCs w:val="24"/>
          <w:lang w:val="pl-PL"/>
        </w:rPr>
      </w:pPr>
      <w:r w:rsidRPr="003F2D6F">
        <w:rPr>
          <w:szCs w:val="24"/>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rsidR="00741397" w:rsidRPr="003F2D6F" w:rsidRDefault="00741397" w:rsidP="00741397">
      <w:pPr>
        <w:widowControl w:val="0"/>
        <w:spacing w:before="60" w:after="60"/>
        <w:ind w:firstLine="709"/>
        <w:rPr>
          <w:szCs w:val="24"/>
          <w:lang w:val="pl-PL"/>
        </w:rPr>
      </w:pPr>
      <w:r w:rsidRPr="003F2D6F">
        <w:rPr>
          <w:szCs w:val="24"/>
          <w:lang w:val="pl-PL"/>
        </w:rPr>
        <w:t>Trong đó:</w:t>
      </w:r>
    </w:p>
    <w:p w:rsidR="00741397" w:rsidRPr="003F2D6F" w:rsidRDefault="00741397" w:rsidP="00741397">
      <w:pPr>
        <w:widowControl w:val="0"/>
        <w:spacing w:before="60" w:after="60"/>
        <w:ind w:firstLine="709"/>
        <w:rPr>
          <w:szCs w:val="24"/>
          <w:lang w:val="pl-PL"/>
        </w:rPr>
      </w:pPr>
      <w:r w:rsidRPr="003F2D6F">
        <w:rPr>
          <w:szCs w:val="24"/>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rsidR="00741397" w:rsidRPr="003F2D6F" w:rsidRDefault="00741397" w:rsidP="00741397">
      <w:pPr>
        <w:widowControl w:val="0"/>
        <w:spacing w:before="60" w:after="60"/>
        <w:ind w:firstLine="709"/>
        <w:rPr>
          <w:szCs w:val="24"/>
          <w:lang w:val="pl-PL"/>
        </w:rPr>
      </w:pPr>
      <w:r w:rsidRPr="003F2D6F">
        <w:rPr>
          <w:szCs w:val="24"/>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rsidR="00741397" w:rsidRPr="003F2D6F" w:rsidRDefault="00741397" w:rsidP="00741397">
      <w:pPr>
        <w:widowControl w:val="0"/>
        <w:spacing w:before="60" w:after="60"/>
        <w:ind w:firstLine="709"/>
        <w:rPr>
          <w:iCs/>
          <w:szCs w:val="24"/>
          <w:lang w:val="pl-PL"/>
        </w:rPr>
      </w:pPr>
      <w:r w:rsidRPr="003F2D6F">
        <w:rPr>
          <w:szCs w:val="24"/>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rsidR="00741397" w:rsidRPr="003F2D6F" w:rsidRDefault="00741397" w:rsidP="00741397">
      <w:pPr>
        <w:widowControl w:val="0"/>
        <w:spacing w:before="120" w:after="120" w:line="252" w:lineRule="auto"/>
        <w:ind w:firstLine="709"/>
        <w:rPr>
          <w:szCs w:val="24"/>
          <w:lang w:val="pl-PL"/>
        </w:rPr>
      </w:pPr>
      <w:r w:rsidRPr="003F2D6F">
        <w:rPr>
          <w:szCs w:val="24"/>
          <w:lang w:val="pl-PL"/>
        </w:rPr>
        <w:lastRenderedPageBreak/>
        <w:t xml:space="preserve">Đối với gói thầu mua sắm tập trung áp dụng lựa chọn nhà thầu theo khả năng cung cấp, hợp đồng tương tự được xác định tương ứng với khối lượng, giá trị của hàng hóa mà nhà thầu dự thầu, bảo đảm giá trị của từng hạng mục hàng hóa tương tự đã thực hiện đáp ứng tối thiểu 70% giá trị của từng hạng mục hàng hóa mà nhà thầu chào (hoặc 50% nếu thuộc trường hợp mua sắm tập trung hoặc mua sắm hàng hóa có số lượng, khối lượng mời thầu lớn). </w:t>
      </w:r>
    </w:p>
    <w:p w:rsidR="00741397" w:rsidRPr="003F2D6F" w:rsidRDefault="00741397" w:rsidP="00741397">
      <w:pPr>
        <w:widowControl w:val="0"/>
        <w:spacing w:before="60" w:after="60"/>
        <w:ind w:firstLine="709"/>
        <w:rPr>
          <w:szCs w:val="24"/>
          <w:lang w:val="pl-PL"/>
        </w:rPr>
      </w:pPr>
      <w:r w:rsidRPr="003F2D6F">
        <w:rPr>
          <w:szCs w:val="24"/>
          <w:lang w:val="pt-BR"/>
        </w:rPr>
        <w:t xml:space="preserve">Trường hợp một số hạng mục hàng hóa trong gói thầu có cùng mã Chương, mã Nhóm (mã A) thì </w:t>
      </w:r>
      <w:r w:rsidRPr="003F2D6F">
        <w:rPr>
          <w:szCs w:val="24"/>
          <w:lang w:val="pl-PL"/>
        </w:rPr>
        <w:t>việc đánh giá về quy mô của hợp đồng tương tự căn cứ vào giá trị hoàn thành, được nghiệm thu như sau:</w:t>
      </w:r>
    </w:p>
    <w:p w:rsidR="00741397" w:rsidRPr="003F2D6F" w:rsidRDefault="00741397" w:rsidP="00741397">
      <w:pPr>
        <w:widowControl w:val="0"/>
        <w:spacing w:before="120" w:after="120" w:line="252" w:lineRule="auto"/>
        <w:ind w:firstLine="709"/>
        <w:rPr>
          <w:szCs w:val="24"/>
          <w:lang w:val="pl-PL"/>
        </w:rPr>
      </w:pPr>
      <w:r w:rsidRPr="003F2D6F">
        <w:rPr>
          <w:szCs w:val="24"/>
          <w:lang w:val="pl-PL"/>
        </w:rPr>
        <w:t xml:space="preserve">(iii) Có ít nhất 01 hợp đồng hoàn thành cung cấp đầy đủ các loại hàng hóa tương tự có giá trị đáp ứng tối thiểu là </w:t>
      </w:r>
      <w:r w:rsidRPr="003F2D6F">
        <w:rPr>
          <w:b/>
          <w:szCs w:val="24"/>
          <w:lang w:val="pl-PL"/>
        </w:rPr>
        <w:t>K</w:t>
      </w:r>
      <w:r w:rsidRPr="003F2D6F">
        <w:rPr>
          <w:szCs w:val="24"/>
          <w:lang w:val="pl-PL"/>
        </w:rPr>
        <w:t xml:space="preserve"> (hoặc </w:t>
      </w:r>
      <w:r w:rsidRPr="003F2D6F">
        <w:rPr>
          <w:b/>
          <w:szCs w:val="24"/>
          <w:lang w:val="pl-PL"/>
        </w:rPr>
        <w:t xml:space="preserve">K/1,4 </w:t>
      </w:r>
      <w:r w:rsidRPr="003F2D6F">
        <w:rPr>
          <w:szCs w:val="24"/>
          <w:lang w:val="pl-PL"/>
        </w:rPr>
        <w:t xml:space="preserve">nếu thuộc trường hợp mua sắm tập trung hoặc mua sắm hàng hóa có số lượng, khối lượng mời thầu lớn), trong đó </w:t>
      </w:r>
      <w:r w:rsidRPr="003F2D6F">
        <w:rPr>
          <w:b/>
          <w:bCs/>
          <w:szCs w:val="24"/>
          <w:lang w:val="pl-PL"/>
        </w:rPr>
        <w:t>K</w:t>
      </w:r>
      <w:r w:rsidRPr="003F2D6F">
        <w:rPr>
          <w:szCs w:val="24"/>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rsidR="00741397" w:rsidRPr="003F2D6F" w:rsidRDefault="00741397" w:rsidP="00741397">
      <w:pPr>
        <w:spacing w:before="120" w:after="120" w:line="252" w:lineRule="auto"/>
        <w:ind w:firstLine="709"/>
        <w:rPr>
          <w:szCs w:val="24"/>
          <w:lang w:val="pl-PL"/>
        </w:rPr>
      </w:pPr>
      <w:r w:rsidRPr="003F2D6F">
        <w:rPr>
          <w:szCs w:val="24"/>
          <w:lang w:val="pt-BR"/>
        </w:rPr>
        <w:t xml:space="preserve">(iv) </w:t>
      </w:r>
      <w:r w:rsidRPr="003F2D6F">
        <w:rPr>
          <w:szCs w:val="24"/>
          <w:lang w:val="pl-PL"/>
        </w:rPr>
        <w:t>Có các hạng mục hàng hóa tương tự đã thực hiện trong các hợp đồng khác nhau (hợp đồng có thể đã hoàn thành hoặc đang thực hiện, chưa nghiệm thu, thanh lý)</w:t>
      </w:r>
      <w:r w:rsidRPr="003F2D6F">
        <w:rPr>
          <w:szCs w:val="24"/>
          <w:lang w:val="pt-BR"/>
        </w:rPr>
        <w:t xml:space="preserve"> </w:t>
      </w:r>
      <w:r w:rsidRPr="003F2D6F">
        <w:rPr>
          <w:szCs w:val="24"/>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3F2D6F">
        <w:rPr>
          <w:szCs w:val="24"/>
          <w:lang w:val="pt-BR"/>
        </w:rPr>
        <w:t xml:space="preserve">chỉ cần </w:t>
      </w:r>
      <w:r w:rsidRPr="003F2D6F">
        <w:rPr>
          <w:szCs w:val="24"/>
          <w:lang w:val="pl-PL"/>
        </w:rPr>
        <w:t xml:space="preserve">giá trị của hạng mục hàng hóa tương tự </w:t>
      </w:r>
      <w:r w:rsidRPr="003F2D6F">
        <w:rPr>
          <w:szCs w:val="24"/>
          <w:lang w:val="pt-BR"/>
        </w:rPr>
        <w:t xml:space="preserve">đã thực hiện </w:t>
      </w:r>
      <w:r w:rsidRPr="003F2D6F">
        <w:rPr>
          <w:szCs w:val="24"/>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rsidR="00741397" w:rsidRPr="003F2D6F" w:rsidRDefault="00741397" w:rsidP="00741397">
      <w:pPr>
        <w:widowControl w:val="0"/>
        <w:spacing w:before="120" w:after="120" w:line="252" w:lineRule="auto"/>
        <w:ind w:firstLine="709"/>
        <w:rPr>
          <w:szCs w:val="24"/>
          <w:lang w:val="pl-PL"/>
        </w:rPr>
      </w:pPr>
      <w:r w:rsidRPr="003F2D6F">
        <w:rPr>
          <w:szCs w:val="24"/>
          <w:lang w:val="pl-PL"/>
        </w:rPr>
        <w:t>* Ví dụ cho ghi chú số (10), (11):</w:t>
      </w:r>
    </w:p>
    <w:p w:rsidR="00741397" w:rsidRPr="003F2D6F" w:rsidRDefault="00741397" w:rsidP="00741397">
      <w:pPr>
        <w:widowControl w:val="0"/>
        <w:spacing w:before="120" w:after="120" w:line="252" w:lineRule="auto"/>
        <w:ind w:firstLine="709"/>
        <w:rPr>
          <w:strike/>
          <w:vanish/>
          <w:szCs w:val="24"/>
          <w:lang w:val="pl-PL"/>
        </w:rPr>
      </w:pPr>
      <w:r w:rsidRPr="003F2D6F">
        <w:rPr>
          <w:szCs w:val="24"/>
          <w:lang w:val="pl-PL"/>
        </w:rPr>
        <w:t xml:space="preserve">- Ví dụ 1: Gói thầu đang xét là gói thầu cung cấp 500.000 cái </w:t>
      </w:r>
      <w:r w:rsidRPr="003F2D6F">
        <w:rPr>
          <w:szCs w:val="24"/>
          <w:shd w:val="clear" w:color="auto" w:fill="FFFFFF"/>
          <w:lang w:val="pl-PL"/>
        </w:rPr>
        <w:t xml:space="preserve">bơm tiêm dùng một lần có mã HS </w:t>
      </w:r>
      <w:r w:rsidRPr="003F2D6F">
        <w:rPr>
          <w:b/>
          <w:szCs w:val="24"/>
          <w:shd w:val="clear" w:color="auto" w:fill="FFFFFF"/>
          <w:lang w:val="pl-PL"/>
        </w:rPr>
        <w:t>9018</w:t>
      </w:r>
      <w:r w:rsidRPr="003F2D6F">
        <w:rPr>
          <w:szCs w:val="24"/>
          <w:shd w:val="clear" w:color="auto" w:fill="FFFFFF"/>
          <w:lang w:val="pl-PL"/>
        </w:rPr>
        <w:t xml:space="preserve">.31.10 (Theo quy định của Thông tư số 14/2018/TT-BYT) giá trị 1.000.000.000 đồng và 100 chiếc đèn mổ treo trần có mã HS </w:t>
      </w:r>
      <w:r w:rsidRPr="003F2D6F">
        <w:rPr>
          <w:b/>
          <w:szCs w:val="24"/>
          <w:shd w:val="clear" w:color="auto" w:fill="FFFFFF"/>
          <w:lang w:val="pl-PL"/>
        </w:rPr>
        <w:t>9405</w:t>
      </w:r>
      <w:r w:rsidRPr="003F2D6F">
        <w:rPr>
          <w:szCs w:val="24"/>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3F2D6F">
        <w:rPr>
          <w:b/>
          <w:szCs w:val="24"/>
          <w:shd w:val="clear" w:color="auto" w:fill="FFFFFF"/>
          <w:lang w:val="pl-PL"/>
        </w:rPr>
        <w:t>9018</w:t>
      </w:r>
      <w:r w:rsidRPr="003F2D6F">
        <w:rPr>
          <w:szCs w:val="24"/>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3F2D6F">
        <w:rPr>
          <w:b/>
          <w:szCs w:val="24"/>
          <w:shd w:val="clear" w:color="auto" w:fill="FFFFFF"/>
          <w:lang w:val="pl-PL"/>
        </w:rPr>
        <w:t>9405</w:t>
      </w:r>
      <w:r w:rsidRPr="003F2D6F">
        <w:rPr>
          <w:szCs w:val="24"/>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3F2D6F">
        <w:rPr>
          <w:strike/>
          <w:vanish/>
          <w:szCs w:val="24"/>
          <w:lang w:val="pl-PL"/>
        </w:rPr>
        <w:t xml:space="preserve"> (11) Căn cứ vào quy mô, tính chất của gói thầu và tình hình thực tế của ngành, địa phương để quy định cho phù hợp. Thông thường từ 1 đến 3 hợp đồng tương tự (N từ 1 đến 3).</w:t>
      </w:r>
    </w:p>
    <w:p w:rsidR="00741397" w:rsidRPr="003F2D6F" w:rsidRDefault="00741397" w:rsidP="00741397">
      <w:pPr>
        <w:widowControl w:val="0"/>
        <w:tabs>
          <w:tab w:val="left" w:pos="0"/>
        </w:tabs>
        <w:spacing w:before="120" w:after="120" w:line="252" w:lineRule="auto"/>
        <w:ind w:firstLine="709"/>
        <w:rPr>
          <w:iCs/>
          <w:strike/>
          <w:vanish/>
          <w:szCs w:val="24"/>
          <w:lang w:val="pl-PL"/>
        </w:rPr>
      </w:pPr>
      <w:r w:rsidRPr="003F2D6F">
        <w:rPr>
          <w:iCs/>
          <w:strike/>
          <w:vanish/>
          <w:szCs w:val="24"/>
          <w:lang w:val="pl-PL"/>
        </w:rPr>
        <w:t xml:space="preserve"> Trường hợp N = 1 thì thay thế quy định trong bảng bằng yêu cầu sau:</w:t>
      </w:r>
    </w:p>
    <w:p w:rsidR="00741397" w:rsidRPr="003F2D6F" w:rsidRDefault="00741397" w:rsidP="00741397">
      <w:pPr>
        <w:widowControl w:val="0"/>
        <w:tabs>
          <w:tab w:val="left" w:pos="0"/>
        </w:tabs>
        <w:spacing w:before="120" w:after="120" w:line="252" w:lineRule="auto"/>
        <w:ind w:firstLine="709"/>
        <w:rPr>
          <w:iCs/>
          <w:szCs w:val="24"/>
          <w:lang w:val="pl-PL"/>
        </w:rPr>
      </w:pPr>
      <w:r w:rsidRPr="003F2D6F">
        <w:rPr>
          <w:iCs/>
          <w:strike/>
          <w:vanish/>
          <w:szCs w:val="24"/>
          <w:lang w:val="pl-PL"/>
        </w:rPr>
        <w:t>"</w:t>
      </w:r>
      <w:r w:rsidRPr="003F2D6F">
        <w:rPr>
          <w:strike/>
          <w:vanish/>
          <w:szCs w:val="24"/>
          <w:lang w:val="pl-PL"/>
        </w:rPr>
        <w:t>Từ ngày 01 tháng 01 năm ___</w:t>
      </w:r>
      <w:r w:rsidRPr="003F2D6F">
        <w:rPr>
          <w:strike/>
          <w:vanish/>
          <w:szCs w:val="24"/>
          <w:vertAlign w:val="superscript"/>
          <w:lang w:val="pl-PL"/>
        </w:rPr>
        <w:t xml:space="preserve"> </w:t>
      </w:r>
      <w:r w:rsidRPr="003F2D6F">
        <w:rPr>
          <w:strike/>
          <w:vanish/>
          <w:szCs w:val="24"/>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3F2D6F">
        <w:rPr>
          <w:strike/>
          <w:vanish/>
          <w:szCs w:val="24"/>
          <w:vertAlign w:val="superscript"/>
          <w:lang w:val="es-ES"/>
        </w:rPr>
        <w:t xml:space="preserve"> </w:t>
      </w:r>
      <w:r w:rsidRPr="003F2D6F">
        <w:rPr>
          <w:strike/>
          <w:vanish/>
          <w:szCs w:val="24"/>
          <w:lang w:val="es-ES"/>
        </w:rPr>
        <w:t>hoặc nhà thầu phụ”.</w:t>
      </w:r>
      <w:r w:rsidRPr="003F2D6F">
        <w:rPr>
          <w:iCs/>
          <w:vanish/>
          <w:szCs w:val="24"/>
          <w:lang w:val="pl-PL"/>
        </w:rPr>
        <w:t xml:space="preserve"> </w:t>
      </w:r>
    </w:p>
    <w:p w:rsidR="00741397" w:rsidRPr="003F2D6F" w:rsidRDefault="00741397" w:rsidP="00741397">
      <w:pPr>
        <w:spacing w:before="120" w:after="120" w:line="252" w:lineRule="auto"/>
        <w:ind w:firstLine="709"/>
        <w:rPr>
          <w:rFonts w:eastAsia=".VnTime"/>
          <w:szCs w:val="24"/>
          <w:lang w:val="nl-NL"/>
        </w:rPr>
      </w:pPr>
      <w:r w:rsidRPr="003F2D6F">
        <w:rPr>
          <w:rFonts w:eastAsia=".VnTime"/>
          <w:szCs w:val="24"/>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rsidR="00741397" w:rsidRPr="003F2D6F" w:rsidRDefault="00741397" w:rsidP="00741397">
      <w:pPr>
        <w:spacing w:before="120" w:after="120" w:line="252" w:lineRule="auto"/>
        <w:ind w:firstLine="709"/>
        <w:rPr>
          <w:szCs w:val="24"/>
          <w:lang w:val="es-ES"/>
        </w:rPr>
      </w:pPr>
      <w:r w:rsidRPr="003F2D6F">
        <w:rPr>
          <w:rFonts w:eastAsia=".VnTime"/>
          <w:szCs w:val="24"/>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3F2D6F">
        <w:rPr>
          <w:szCs w:val="24"/>
          <w:lang w:val="es-ES"/>
        </w:rPr>
        <w:t>.</w:t>
      </w:r>
      <w:r w:rsidRPr="003F2D6F">
        <w:rPr>
          <w:i/>
          <w:szCs w:val="24"/>
          <w:lang w:val="es-ES"/>
        </w:rPr>
        <w:t xml:space="preserve"> </w:t>
      </w:r>
      <w:r w:rsidRPr="003F2D6F">
        <w:rPr>
          <w:szCs w:val="24"/>
          <w:lang w:val="es-ES"/>
        </w:rPr>
        <w:t>Nhà thầu tham dự thầu là nhà thầu Liên danh A – B</w:t>
      </w:r>
      <w:r w:rsidRPr="003F2D6F">
        <w:rPr>
          <w:i/>
          <w:szCs w:val="24"/>
          <w:lang w:val="es-ES"/>
        </w:rPr>
        <w:t xml:space="preserve"> </w:t>
      </w:r>
      <w:r w:rsidRPr="003F2D6F">
        <w:rPr>
          <w:szCs w:val="24"/>
          <w:lang w:val="es-ES"/>
        </w:rPr>
        <w:t xml:space="preserve">trong đó thành viên A </w:t>
      </w:r>
      <w:r w:rsidRPr="003F2D6F">
        <w:rPr>
          <w:szCs w:val="24"/>
          <w:lang w:val="es-ES"/>
        </w:rPr>
        <w:lastRenderedPageBreak/>
        <w:t xml:space="preserve">là nhà sản xuất máy điều hòa đảm nhận phần công việc cung cấp máy điều hòa (80% giá trị công việc gói thầu), thành viên B </w:t>
      </w:r>
      <w:r w:rsidRPr="003F2D6F">
        <w:rPr>
          <w:szCs w:val="24"/>
          <w:lang w:val="pt-BR"/>
        </w:rPr>
        <w:t>là nhà thương mại đảm nhận phần công việc cung cấp máy tính xách tay và máy in của gói thầu (20% giá trị công việc gói thầu). Trong trường hợp này, nhà thầu Liên danh A – B đư</w:t>
      </w:r>
      <w:r w:rsidRPr="003F2D6F">
        <w:rPr>
          <w:szCs w:val="24"/>
          <w:lang w:val="es-ES"/>
        </w:rPr>
        <w:t>ợc coi là đáp ứng yêu cầu về năng lực sản xuất và kinh nghiệm thực hiện hợp đồng nếu:</w:t>
      </w:r>
    </w:p>
    <w:p w:rsidR="00741397" w:rsidRPr="003F2D6F" w:rsidRDefault="00741397" w:rsidP="00741397">
      <w:pPr>
        <w:spacing w:before="120" w:after="120" w:line="252" w:lineRule="auto"/>
        <w:ind w:firstLine="709"/>
        <w:rPr>
          <w:szCs w:val="24"/>
          <w:lang w:val="pt-BR"/>
        </w:rPr>
      </w:pPr>
      <w:r w:rsidRPr="003F2D6F">
        <w:rPr>
          <w:szCs w:val="24"/>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rsidR="00741397" w:rsidRPr="003F2D6F" w:rsidRDefault="00741397" w:rsidP="00741397">
      <w:pPr>
        <w:pStyle w:val="ListParagraph"/>
        <w:widowControl w:val="0"/>
        <w:tabs>
          <w:tab w:val="left" w:pos="434"/>
          <w:tab w:val="left" w:pos="993"/>
        </w:tabs>
        <w:spacing w:before="120" w:after="120" w:line="252" w:lineRule="auto"/>
        <w:ind w:left="0" w:firstLine="720"/>
        <w:contextualSpacing w:val="0"/>
        <w:rPr>
          <w:szCs w:val="24"/>
          <w:lang w:val="es-ES"/>
        </w:rPr>
      </w:pPr>
      <w:r w:rsidRPr="003F2D6F">
        <w:rPr>
          <w:szCs w:val="24"/>
          <w:lang w:val="pt-BR"/>
        </w:rPr>
        <w:t xml:space="preserve">+ Thành viên B đã thực hiện cung cấp các mã hàng hóa 8507, 8443 trong cùng 01 hợp đồng hoặc ở 02 hợp đồng khác nhau </w:t>
      </w:r>
      <w:r w:rsidRPr="003F2D6F">
        <w:rPr>
          <w:szCs w:val="24"/>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rsidR="00741397" w:rsidRPr="003F2D6F" w:rsidRDefault="00741397" w:rsidP="00741397">
      <w:pPr>
        <w:pStyle w:val="ListParagraph"/>
        <w:widowControl w:val="0"/>
        <w:tabs>
          <w:tab w:val="left" w:pos="434"/>
          <w:tab w:val="left" w:pos="993"/>
        </w:tabs>
        <w:spacing w:before="120" w:after="120" w:line="252" w:lineRule="auto"/>
        <w:contextualSpacing w:val="0"/>
        <w:rPr>
          <w:szCs w:val="24"/>
          <w:lang w:val="es-ES"/>
        </w:rPr>
      </w:pPr>
      <w:r w:rsidRPr="003F2D6F">
        <w:rPr>
          <w:szCs w:val="24"/>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741397" w:rsidRPr="003F2D6F" w:rsidTr="00372B46">
        <w:trPr>
          <w:jc w:val="center"/>
        </w:trPr>
        <w:tc>
          <w:tcPr>
            <w:tcW w:w="988"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STT</w:t>
            </w:r>
          </w:p>
        </w:tc>
        <w:tc>
          <w:tcPr>
            <w:tcW w:w="2835"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Danh mục hàng hóa</w:t>
            </w:r>
          </w:p>
        </w:tc>
        <w:tc>
          <w:tcPr>
            <w:tcW w:w="1604"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Mã HS</w:t>
            </w:r>
          </w:p>
        </w:tc>
        <w:tc>
          <w:tcPr>
            <w:tcW w:w="2552"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Giá trị theo dự toán (VND)</w:t>
            </w:r>
          </w:p>
        </w:tc>
      </w:tr>
      <w:tr w:rsidR="00741397" w:rsidRPr="003F2D6F" w:rsidTr="00372B46">
        <w:trPr>
          <w:jc w:val="center"/>
        </w:trPr>
        <w:tc>
          <w:tcPr>
            <w:tcW w:w="988"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1</w:t>
            </w:r>
          </w:p>
        </w:tc>
        <w:tc>
          <w:tcPr>
            <w:tcW w:w="2835"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rPr>
                <w:szCs w:val="24"/>
                <w:lang w:val="es-ES" w:eastAsia="vi-VN"/>
              </w:rPr>
            </w:pPr>
            <w:r w:rsidRPr="003F2D6F">
              <w:rPr>
                <w:szCs w:val="24"/>
                <w:lang w:val="es-ES" w:eastAsia="vi-VN"/>
              </w:rPr>
              <w:t>Hàng hóa A</w:t>
            </w:r>
          </w:p>
        </w:tc>
        <w:tc>
          <w:tcPr>
            <w:tcW w:w="1604"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9025</w:t>
            </w:r>
          </w:p>
        </w:tc>
        <w:tc>
          <w:tcPr>
            <w:tcW w:w="2552"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right"/>
              <w:rPr>
                <w:szCs w:val="24"/>
                <w:lang w:val="es-ES" w:eastAsia="vi-VN"/>
              </w:rPr>
            </w:pPr>
            <w:r w:rsidRPr="003F2D6F">
              <w:rPr>
                <w:szCs w:val="24"/>
                <w:lang w:val="es-ES" w:eastAsia="vi-VN"/>
              </w:rPr>
              <w:t>10.000.000.000</w:t>
            </w:r>
          </w:p>
        </w:tc>
      </w:tr>
      <w:tr w:rsidR="00741397" w:rsidRPr="003F2D6F" w:rsidTr="00372B46">
        <w:trPr>
          <w:jc w:val="center"/>
        </w:trPr>
        <w:tc>
          <w:tcPr>
            <w:tcW w:w="988"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2</w:t>
            </w:r>
          </w:p>
        </w:tc>
        <w:tc>
          <w:tcPr>
            <w:tcW w:w="2835"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rPr>
                <w:szCs w:val="24"/>
                <w:lang w:val="es-ES" w:eastAsia="vi-VN"/>
              </w:rPr>
            </w:pPr>
            <w:r w:rsidRPr="003F2D6F">
              <w:rPr>
                <w:szCs w:val="24"/>
                <w:lang w:val="es-ES" w:eastAsia="vi-VN"/>
              </w:rPr>
              <w:t>Hàng hóa B</w:t>
            </w:r>
          </w:p>
        </w:tc>
        <w:tc>
          <w:tcPr>
            <w:tcW w:w="1604"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9030</w:t>
            </w:r>
          </w:p>
        </w:tc>
        <w:tc>
          <w:tcPr>
            <w:tcW w:w="2552"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right"/>
              <w:rPr>
                <w:szCs w:val="24"/>
                <w:lang w:val="es-ES" w:eastAsia="vi-VN"/>
              </w:rPr>
            </w:pPr>
            <w:r w:rsidRPr="003F2D6F">
              <w:rPr>
                <w:szCs w:val="24"/>
                <w:lang w:val="es-ES" w:eastAsia="vi-VN"/>
              </w:rPr>
              <w:t>8.000.000.000</w:t>
            </w:r>
          </w:p>
        </w:tc>
      </w:tr>
      <w:tr w:rsidR="00741397" w:rsidRPr="003F2D6F" w:rsidTr="00372B46">
        <w:trPr>
          <w:jc w:val="center"/>
        </w:trPr>
        <w:tc>
          <w:tcPr>
            <w:tcW w:w="988"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3</w:t>
            </w:r>
          </w:p>
        </w:tc>
        <w:tc>
          <w:tcPr>
            <w:tcW w:w="2835"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rPr>
                <w:szCs w:val="24"/>
                <w:lang w:val="es-ES" w:eastAsia="vi-VN"/>
              </w:rPr>
            </w:pPr>
            <w:r w:rsidRPr="003F2D6F">
              <w:rPr>
                <w:szCs w:val="24"/>
                <w:lang w:val="es-ES" w:eastAsia="vi-VN"/>
              </w:rPr>
              <w:t>Hàng hóa C</w:t>
            </w:r>
          </w:p>
        </w:tc>
        <w:tc>
          <w:tcPr>
            <w:tcW w:w="1604"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9030</w:t>
            </w:r>
          </w:p>
        </w:tc>
        <w:tc>
          <w:tcPr>
            <w:tcW w:w="2552"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right"/>
              <w:rPr>
                <w:szCs w:val="24"/>
                <w:lang w:val="es-ES" w:eastAsia="vi-VN"/>
              </w:rPr>
            </w:pPr>
            <w:r w:rsidRPr="003F2D6F">
              <w:rPr>
                <w:szCs w:val="24"/>
                <w:lang w:val="es-ES" w:eastAsia="vi-VN"/>
              </w:rPr>
              <w:t>12.000.000.000</w:t>
            </w:r>
          </w:p>
        </w:tc>
      </w:tr>
    </w:tbl>
    <w:p w:rsidR="00741397" w:rsidRPr="003F2D6F" w:rsidRDefault="00741397" w:rsidP="00741397">
      <w:pPr>
        <w:pStyle w:val="ListParagraph"/>
        <w:widowControl w:val="0"/>
        <w:tabs>
          <w:tab w:val="left" w:pos="434"/>
          <w:tab w:val="left" w:pos="993"/>
        </w:tabs>
        <w:spacing w:before="120" w:after="120" w:line="252" w:lineRule="auto"/>
        <w:ind w:left="0" w:firstLine="720"/>
        <w:contextualSpacing w:val="0"/>
        <w:rPr>
          <w:szCs w:val="24"/>
          <w:lang w:val="es-ES"/>
        </w:rPr>
      </w:pPr>
      <w:r w:rsidRPr="003F2D6F">
        <w:rPr>
          <w:szCs w:val="24"/>
          <w:lang w:val="es-ES"/>
        </w:rPr>
        <w:t>Trong trường hợp này, nhà thầu A tham dự gói thầu mua sắm hàng hóa Q nêu trên được coi là đáp ứng yêu cầu về kinh nghiệm thực hiện hợp đồng cung cấp hàng hóa tương tự nếu:</w:t>
      </w:r>
    </w:p>
    <w:p w:rsidR="00741397" w:rsidRPr="003F2D6F" w:rsidRDefault="00741397" w:rsidP="00741397">
      <w:pPr>
        <w:spacing w:before="120" w:after="120" w:line="252" w:lineRule="auto"/>
        <w:ind w:firstLine="709"/>
        <w:rPr>
          <w:szCs w:val="24"/>
          <w:lang w:val="pt-BR"/>
        </w:rPr>
      </w:pPr>
      <w:r w:rsidRPr="003F2D6F">
        <w:rPr>
          <w:szCs w:val="24"/>
          <w:lang w:val="es-ES"/>
        </w:rPr>
        <w:t>+ C</w:t>
      </w:r>
      <w:r w:rsidRPr="003F2D6F">
        <w:rPr>
          <w:szCs w:val="24"/>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rsidR="00741397" w:rsidRPr="003F2D6F" w:rsidRDefault="00741397" w:rsidP="00741397">
      <w:pPr>
        <w:spacing w:before="120" w:after="120" w:line="252" w:lineRule="auto"/>
        <w:ind w:firstLine="709"/>
        <w:rPr>
          <w:szCs w:val="24"/>
          <w:lang w:val="pt-BR"/>
        </w:rPr>
      </w:pPr>
      <w:r w:rsidRPr="003F2D6F">
        <w:rPr>
          <w:szCs w:val="24"/>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rsidR="00741397" w:rsidRPr="003F2D6F" w:rsidRDefault="00741397" w:rsidP="00741397">
      <w:pPr>
        <w:pStyle w:val="ListParagraph"/>
        <w:widowControl w:val="0"/>
        <w:numPr>
          <w:ilvl w:val="0"/>
          <w:numId w:val="1"/>
        </w:numPr>
        <w:tabs>
          <w:tab w:val="left" w:pos="434"/>
          <w:tab w:val="left" w:pos="993"/>
        </w:tabs>
        <w:spacing w:before="120" w:after="120" w:line="252" w:lineRule="auto"/>
        <w:contextualSpacing w:val="0"/>
        <w:rPr>
          <w:szCs w:val="24"/>
          <w:lang w:val="es-ES"/>
        </w:rPr>
      </w:pPr>
      <w:r w:rsidRPr="003F2D6F">
        <w:rPr>
          <w:szCs w:val="24"/>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338"/>
        <w:gridCol w:w="2357"/>
        <w:gridCol w:w="1389"/>
        <w:gridCol w:w="2354"/>
      </w:tblGrid>
      <w:tr w:rsidR="00741397" w:rsidRPr="003F2D6F" w:rsidTr="00372B46">
        <w:trPr>
          <w:jc w:val="center"/>
        </w:trPr>
        <w:tc>
          <w:tcPr>
            <w:tcW w:w="988"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STT</w:t>
            </w:r>
          </w:p>
        </w:tc>
        <w:tc>
          <w:tcPr>
            <w:tcW w:w="2835" w:type="dxa"/>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Tên phần (lô)</w:t>
            </w:r>
          </w:p>
        </w:tc>
        <w:tc>
          <w:tcPr>
            <w:tcW w:w="2835"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 xml:space="preserve">Phạm vi cung cấp </w:t>
            </w:r>
          </w:p>
        </w:tc>
        <w:tc>
          <w:tcPr>
            <w:tcW w:w="1604"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Mã HS</w:t>
            </w:r>
          </w:p>
        </w:tc>
        <w:tc>
          <w:tcPr>
            <w:tcW w:w="2552" w:type="dxa"/>
            <w:shd w:val="clear" w:color="auto" w:fill="auto"/>
            <w:vAlign w:val="center"/>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b/>
                <w:szCs w:val="24"/>
                <w:lang w:val="es-ES" w:eastAsia="vi-VN"/>
              </w:rPr>
            </w:pPr>
            <w:r w:rsidRPr="003F2D6F">
              <w:rPr>
                <w:b/>
                <w:szCs w:val="24"/>
                <w:lang w:val="es-ES" w:eastAsia="vi-VN"/>
              </w:rPr>
              <w:t>Giá trị theo dự toán (VND)</w:t>
            </w:r>
          </w:p>
        </w:tc>
      </w:tr>
      <w:tr w:rsidR="00741397" w:rsidRPr="003F2D6F" w:rsidTr="00372B46">
        <w:trPr>
          <w:jc w:val="center"/>
        </w:trPr>
        <w:tc>
          <w:tcPr>
            <w:tcW w:w="988"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1</w:t>
            </w:r>
          </w:p>
        </w:tc>
        <w:tc>
          <w:tcPr>
            <w:tcW w:w="2835" w:type="dxa"/>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Lô số 01</w:t>
            </w:r>
          </w:p>
        </w:tc>
        <w:tc>
          <w:tcPr>
            <w:tcW w:w="2835"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rPr>
                <w:szCs w:val="24"/>
                <w:lang w:val="es-ES" w:eastAsia="vi-VN"/>
              </w:rPr>
            </w:pPr>
            <w:r w:rsidRPr="003F2D6F">
              <w:rPr>
                <w:szCs w:val="24"/>
                <w:lang w:val="es-ES" w:eastAsia="vi-VN"/>
              </w:rPr>
              <w:t>Hàng hóa A</w:t>
            </w:r>
          </w:p>
        </w:tc>
        <w:tc>
          <w:tcPr>
            <w:tcW w:w="1604"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9025</w:t>
            </w:r>
          </w:p>
        </w:tc>
        <w:tc>
          <w:tcPr>
            <w:tcW w:w="2552"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right"/>
              <w:rPr>
                <w:szCs w:val="24"/>
                <w:lang w:val="es-ES" w:eastAsia="vi-VN"/>
              </w:rPr>
            </w:pPr>
            <w:r w:rsidRPr="003F2D6F">
              <w:rPr>
                <w:szCs w:val="24"/>
                <w:lang w:val="es-ES" w:eastAsia="vi-VN"/>
              </w:rPr>
              <w:t>10.000.000.000</w:t>
            </w:r>
          </w:p>
        </w:tc>
      </w:tr>
      <w:tr w:rsidR="00741397" w:rsidRPr="003F2D6F" w:rsidTr="00372B46">
        <w:trPr>
          <w:jc w:val="center"/>
        </w:trPr>
        <w:tc>
          <w:tcPr>
            <w:tcW w:w="988"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2</w:t>
            </w:r>
          </w:p>
        </w:tc>
        <w:tc>
          <w:tcPr>
            <w:tcW w:w="2835" w:type="dxa"/>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Lô số 02</w:t>
            </w:r>
          </w:p>
        </w:tc>
        <w:tc>
          <w:tcPr>
            <w:tcW w:w="2835"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rPr>
                <w:szCs w:val="24"/>
                <w:lang w:val="es-ES" w:eastAsia="vi-VN"/>
              </w:rPr>
            </w:pPr>
            <w:r w:rsidRPr="003F2D6F">
              <w:rPr>
                <w:szCs w:val="24"/>
                <w:lang w:val="es-ES" w:eastAsia="vi-VN"/>
              </w:rPr>
              <w:t>Hàng hóa B</w:t>
            </w:r>
          </w:p>
        </w:tc>
        <w:tc>
          <w:tcPr>
            <w:tcW w:w="1604"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9025</w:t>
            </w:r>
          </w:p>
        </w:tc>
        <w:tc>
          <w:tcPr>
            <w:tcW w:w="2552"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right"/>
              <w:rPr>
                <w:szCs w:val="24"/>
                <w:lang w:val="es-ES" w:eastAsia="vi-VN"/>
              </w:rPr>
            </w:pPr>
            <w:r w:rsidRPr="003F2D6F">
              <w:rPr>
                <w:szCs w:val="24"/>
                <w:lang w:val="es-ES" w:eastAsia="vi-VN"/>
              </w:rPr>
              <w:t>20.000.000.000</w:t>
            </w:r>
          </w:p>
        </w:tc>
      </w:tr>
      <w:tr w:rsidR="00741397" w:rsidRPr="003F2D6F" w:rsidTr="00372B46">
        <w:trPr>
          <w:jc w:val="center"/>
        </w:trPr>
        <w:tc>
          <w:tcPr>
            <w:tcW w:w="988"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lastRenderedPageBreak/>
              <w:t>3</w:t>
            </w:r>
          </w:p>
        </w:tc>
        <w:tc>
          <w:tcPr>
            <w:tcW w:w="2835" w:type="dxa"/>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Lô số 03</w:t>
            </w:r>
          </w:p>
        </w:tc>
        <w:tc>
          <w:tcPr>
            <w:tcW w:w="2835"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rPr>
                <w:szCs w:val="24"/>
                <w:lang w:val="es-ES" w:eastAsia="vi-VN"/>
              </w:rPr>
            </w:pPr>
            <w:r w:rsidRPr="003F2D6F">
              <w:rPr>
                <w:szCs w:val="24"/>
                <w:lang w:val="es-ES" w:eastAsia="vi-VN"/>
              </w:rPr>
              <w:t>Hàng hóa C</w:t>
            </w:r>
          </w:p>
        </w:tc>
        <w:tc>
          <w:tcPr>
            <w:tcW w:w="1604"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center"/>
              <w:rPr>
                <w:szCs w:val="24"/>
                <w:lang w:val="es-ES" w:eastAsia="vi-VN"/>
              </w:rPr>
            </w:pPr>
            <w:r w:rsidRPr="003F2D6F">
              <w:rPr>
                <w:szCs w:val="24"/>
                <w:lang w:val="es-ES" w:eastAsia="vi-VN"/>
              </w:rPr>
              <w:t>9025</w:t>
            </w:r>
          </w:p>
        </w:tc>
        <w:tc>
          <w:tcPr>
            <w:tcW w:w="2552" w:type="dxa"/>
            <w:shd w:val="clear" w:color="auto" w:fill="auto"/>
          </w:tcPr>
          <w:p w:rsidR="00741397" w:rsidRPr="003F2D6F" w:rsidRDefault="00741397" w:rsidP="00372B46">
            <w:pPr>
              <w:pStyle w:val="ListParagraph"/>
              <w:widowControl w:val="0"/>
              <w:tabs>
                <w:tab w:val="left" w:pos="434"/>
                <w:tab w:val="left" w:pos="993"/>
              </w:tabs>
              <w:spacing w:before="120" w:after="120" w:line="259" w:lineRule="auto"/>
              <w:ind w:left="0"/>
              <w:contextualSpacing w:val="0"/>
              <w:jc w:val="right"/>
              <w:rPr>
                <w:szCs w:val="24"/>
                <w:lang w:val="es-ES" w:eastAsia="vi-VN"/>
              </w:rPr>
            </w:pPr>
            <w:r w:rsidRPr="003F2D6F">
              <w:rPr>
                <w:szCs w:val="24"/>
                <w:lang w:val="es-ES" w:eastAsia="vi-VN"/>
              </w:rPr>
              <w:t>30.000.000.000</w:t>
            </w:r>
          </w:p>
        </w:tc>
      </w:tr>
    </w:tbl>
    <w:p w:rsidR="00741397" w:rsidRPr="003F2D6F" w:rsidRDefault="00741397" w:rsidP="00741397">
      <w:pPr>
        <w:pStyle w:val="ListParagraph"/>
        <w:widowControl w:val="0"/>
        <w:tabs>
          <w:tab w:val="left" w:pos="434"/>
          <w:tab w:val="left" w:pos="993"/>
        </w:tabs>
        <w:spacing w:before="120" w:after="120" w:line="252" w:lineRule="auto"/>
        <w:ind w:left="0" w:firstLine="720"/>
        <w:contextualSpacing w:val="0"/>
        <w:rPr>
          <w:szCs w:val="24"/>
          <w:lang w:val="pt-BR"/>
        </w:rPr>
      </w:pPr>
      <w:r w:rsidRPr="003F2D6F">
        <w:rPr>
          <w:szCs w:val="24"/>
          <w:lang w:val="es-ES"/>
        </w:rPr>
        <w:t xml:space="preserve">Trong trường hợp này, nhà thầu tham dự thầu đối với cả 03 phần của gói thầu mua sắm hàng hóa nêu trên có </w:t>
      </w:r>
      <w:r w:rsidRPr="003F2D6F">
        <w:rPr>
          <w:szCs w:val="24"/>
          <w:lang w:val="pt-BR"/>
        </w:rPr>
        <w:t>01 hợp đồng cung cấp mã hàng hóa 9025 với giá trị đã thực hiện là Z được đánh giá như sau:</w:t>
      </w:r>
    </w:p>
    <w:p w:rsidR="00741397" w:rsidRPr="003F2D6F" w:rsidRDefault="00741397" w:rsidP="00741397">
      <w:pPr>
        <w:pStyle w:val="ListParagraph"/>
        <w:widowControl w:val="0"/>
        <w:tabs>
          <w:tab w:val="left" w:pos="434"/>
          <w:tab w:val="left" w:pos="993"/>
        </w:tabs>
        <w:spacing w:before="120" w:after="120" w:line="252" w:lineRule="auto"/>
        <w:ind w:left="0" w:firstLine="720"/>
        <w:contextualSpacing w:val="0"/>
        <w:rPr>
          <w:szCs w:val="24"/>
          <w:lang w:val="pt-BR"/>
        </w:rPr>
      </w:pPr>
      <w:r w:rsidRPr="003F2D6F">
        <w:rPr>
          <w:szCs w:val="24"/>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rsidR="00741397" w:rsidRPr="003F2D6F" w:rsidRDefault="00741397" w:rsidP="00741397">
      <w:pPr>
        <w:pStyle w:val="ListParagraph"/>
        <w:widowControl w:val="0"/>
        <w:tabs>
          <w:tab w:val="left" w:pos="434"/>
          <w:tab w:val="left" w:pos="993"/>
        </w:tabs>
        <w:spacing w:before="120" w:after="120" w:line="252" w:lineRule="auto"/>
        <w:ind w:left="0" w:firstLine="720"/>
        <w:contextualSpacing w:val="0"/>
        <w:rPr>
          <w:szCs w:val="24"/>
          <w:lang w:val="pt-BR"/>
        </w:rPr>
      </w:pPr>
      <w:r w:rsidRPr="003F2D6F">
        <w:rPr>
          <w:szCs w:val="24"/>
          <w:lang w:val="pt-BR"/>
        </w:rPr>
        <w:t>+ Trường hợp 2: nếu 7.000.000.000 ≤ Z &lt; 14.000.000.000 VND thì được đánh giá là đáp ứng yêu cầu về kinh nghiệm thực hiện hợp đồng cung cấp hàng hóa tương tự đối với Lô số 01.</w:t>
      </w:r>
    </w:p>
    <w:p w:rsidR="00741397" w:rsidRPr="003F2D6F" w:rsidRDefault="00741397" w:rsidP="00741397">
      <w:pPr>
        <w:pStyle w:val="ListParagraph"/>
        <w:widowControl w:val="0"/>
        <w:tabs>
          <w:tab w:val="left" w:pos="434"/>
          <w:tab w:val="left" w:pos="993"/>
        </w:tabs>
        <w:spacing w:before="120" w:after="120" w:line="252" w:lineRule="auto"/>
        <w:ind w:left="0" w:firstLine="720"/>
        <w:contextualSpacing w:val="0"/>
        <w:rPr>
          <w:szCs w:val="24"/>
          <w:lang w:val="pt-BR"/>
        </w:rPr>
      </w:pPr>
      <w:r w:rsidRPr="003F2D6F">
        <w:rPr>
          <w:szCs w:val="24"/>
          <w:lang w:val="pt-BR"/>
        </w:rPr>
        <w:t>+ Trường hợp 3: nếu 14.000.000.000 ≤ Z &lt; 21.000.000.000 VND thì được dánh giá là đáp ứng yêu cầu về kinh nghiệm thực hiện hợp đồng cung cấp hàng hóa tương tự đối với Lô số 01 và Lô số 02.</w:t>
      </w:r>
    </w:p>
    <w:p w:rsidR="00741397" w:rsidRPr="003F2D6F" w:rsidRDefault="00741397" w:rsidP="00741397">
      <w:pPr>
        <w:pStyle w:val="ListParagraph"/>
        <w:widowControl w:val="0"/>
        <w:tabs>
          <w:tab w:val="left" w:pos="434"/>
          <w:tab w:val="left" w:pos="993"/>
        </w:tabs>
        <w:spacing w:before="120" w:after="120" w:line="252" w:lineRule="auto"/>
        <w:ind w:left="0" w:firstLine="720"/>
        <w:contextualSpacing w:val="0"/>
        <w:rPr>
          <w:szCs w:val="24"/>
          <w:lang w:val="pt-BR"/>
        </w:rPr>
      </w:pPr>
      <w:r w:rsidRPr="003F2D6F">
        <w:rPr>
          <w:szCs w:val="24"/>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97"/>
    <w:rsid w:val="00741397"/>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60ADA-D56B-4298-A374-6E273872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39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741397"/>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7413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stoms.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2024-09-06T01:12:00Z</dcterms:created>
  <dcterms:modified xsi:type="dcterms:W3CDTF">2024-09-06T01:12:00Z</dcterms:modified>
</cp:coreProperties>
</file>