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F1" w:rsidRPr="00054542" w:rsidRDefault="00BB05F1" w:rsidP="00BB05F1">
      <w:pPr>
        <w:spacing w:before="80" w:line="380" w:lineRule="exact"/>
        <w:ind w:left="1" w:firstLine="7829"/>
        <w:rPr>
          <w:bCs/>
          <w:i/>
          <w:iCs/>
          <w:sz w:val="24"/>
          <w:szCs w:val="24"/>
          <w:lang w:val="es-ES"/>
        </w:rPr>
      </w:pPr>
      <w:proofErr w:type="spellStart"/>
      <w:r w:rsidRPr="00054542">
        <w:rPr>
          <w:b/>
          <w:sz w:val="24"/>
          <w:szCs w:val="24"/>
          <w:lang w:val="es-ES"/>
        </w:rPr>
        <w:t>Bảng</w:t>
      </w:r>
      <w:proofErr w:type="spellEnd"/>
      <w:r w:rsidRPr="00054542">
        <w:rPr>
          <w:b/>
          <w:sz w:val="24"/>
          <w:szCs w:val="24"/>
          <w:lang w:val="es-ES"/>
        </w:rPr>
        <w:t xml:space="preserve"> </w:t>
      </w:r>
      <w:proofErr w:type="spellStart"/>
      <w:r w:rsidRPr="00054542">
        <w:rPr>
          <w:b/>
          <w:sz w:val="24"/>
          <w:szCs w:val="24"/>
          <w:lang w:val="es-ES"/>
        </w:rPr>
        <w:t>số</w:t>
      </w:r>
      <w:proofErr w:type="spellEnd"/>
      <w:r w:rsidRPr="00054542">
        <w:rPr>
          <w:b/>
          <w:sz w:val="24"/>
          <w:szCs w:val="24"/>
          <w:lang w:val="es-ES"/>
        </w:rPr>
        <w:t xml:space="preserve"> 06</w:t>
      </w:r>
    </w:p>
    <w:tbl>
      <w:tblPr>
        <w:tblW w:w="4879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533"/>
        <w:gridCol w:w="954"/>
        <w:gridCol w:w="995"/>
        <w:gridCol w:w="861"/>
      </w:tblGrid>
      <w:tr w:rsidR="00BB05F1" w:rsidRPr="00054542" w:rsidTr="00C01B26">
        <w:trPr>
          <w:tblHeader/>
        </w:trPr>
        <w:tc>
          <w:tcPr>
            <w:tcW w:w="428" w:type="pct"/>
            <w:vMerge w:val="restar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 w:rsidRPr="00054542">
              <w:rPr>
                <w:b/>
                <w:sz w:val="24"/>
                <w:szCs w:val="24"/>
                <w:lang w:val="pt-BR"/>
              </w:rPr>
              <w:t>Stt</w:t>
            </w:r>
          </w:p>
        </w:tc>
        <w:tc>
          <w:tcPr>
            <w:tcW w:w="3032" w:type="pct"/>
            <w:vMerge w:val="restar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b/>
                <w:iCs/>
                <w:sz w:val="24"/>
                <w:szCs w:val="24"/>
                <w:lang w:val="es-ES"/>
              </w:rPr>
              <w:t>Nội</w:t>
            </w:r>
            <w:proofErr w:type="spellEnd"/>
            <w:r w:rsidRPr="00054542">
              <w:rPr>
                <w:b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iCs/>
                <w:sz w:val="24"/>
                <w:szCs w:val="24"/>
                <w:lang w:val="es-ES"/>
              </w:rPr>
              <w:t>dung</w:t>
            </w:r>
            <w:proofErr w:type="spellEnd"/>
          </w:p>
        </w:tc>
        <w:tc>
          <w:tcPr>
            <w:tcW w:w="1540" w:type="pct"/>
            <w:gridSpan w:val="3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b/>
                <w:iCs/>
                <w:sz w:val="24"/>
                <w:szCs w:val="24"/>
                <w:lang w:val="es-ES"/>
              </w:rPr>
              <w:t>Nhà</w:t>
            </w:r>
            <w:proofErr w:type="spellEnd"/>
            <w:r w:rsidRPr="00054542">
              <w:rPr>
                <w:b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iCs/>
                <w:sz w:val="24"/>
                <w:szCs w:val="24"/>
                <w:lang w:val="es-ES"/>
              </w:rPr>
              <w:t>thầu</w:t>
            </w:r>
            <w:proofErr w:type="spellEnd"/>
          </w:p>
        </w:tc>
      </w:tr>
      <w:tr w:rsidR="00BB05F1" w:rsidRPr="00054542" w:rsidTr="00C01B26">
        <w:trPr>
          <w:tblHeader/>
        </w:trPr>
        <w:tc>
          <w:tcPr>
            <w:tcW w:w="428" w:type="pct"/>
            <w:vMerge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</w:p>
        </w:tc>
        <w:tc>
          <w:tcPr>
            <w:tcW w:w="3032" w:type="pct"/>
            <w:vMerge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</w:p>
        </w:tc>
        <w:tc>
          <w:tcPr>
            <w:tcW w:w="523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 w:rsidRPr="00054542">
              <w:rPr>
                <w:b/>
                <w:iCs/>
                <w:sz w:val="24"/>
                <w:szCs w:val="24"/>
                <w:lang w:val="es-ES"/>
              </w:rPr>
              <w:t>A</w:t>
            </w:r>
          </w:p>
        </w:tc>
        <w:tc>
          <w:tcPr>
            <w:tcW w:w="545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 w:rsidRPr="00054542">
              <w:rPr>
                <w:b/>
                <w:iCs/>
                <w:sz w:val="24"/>
                <w:szCs w:val="24"/>
                <w:lang w:val="es-ES"/>
              </w:rPr>
              <w:t>B</w:t>
            </w:r>
          </w:p>
        </w:tc>
        <w:tc>
          <w:tcPr>
            <w:tcW w:w="47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 w:rsidRPr="00054542">
              <w:rPr>
                <w:b/>
                <w:iCs/>
                <w:sz w:val="24"/>
                <w:szCs w:val="24"/>
                <w:lang w:val="es-ES"/>
              </w:rPr>
              <w:t>...</w:t>
            </w:r>
          </w:p>
        </w:tc>
      </w:tr>
      <w:tr w:rsidR="00BB05F1" w:rsidRPr="00054542" w:rsidTr="00C01B26">
        <w:tc>
          <w:tcPr>
            <w:tcW w:w="428" w:type="pct"/>
            <w:shd w:val="clear" w:color="auto" w:fill="auto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  <w:r w:rsidRPr="00054542">
              <w:rPr>
                <w:iCs/>
                <w:sz w:val="24"/>
                <w:szCs w:val="24"/>
                <w:lang w:val="es-ES"/>
              </w:rPr>
              <w:t>1</w:t>
            </w: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iCs/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Kết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quả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đánh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giá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tính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hợp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lệ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của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E-HSDT</w:t>
            </w:r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  <w:r w:rsidRPr="00054542">
              <w:rPr>
                <w:iCs/>
                <w:sz w:val="24"/>
                <w:szCs w:val="24"/>
                <w:lang w:val="es-ES"/>
              </w:rPr>
              <w:t>2</w:t>
            </w: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iCs/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Kết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quả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đánh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giá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về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năng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lực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và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kinh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nghiệm</w:t>
            </w:r>
            <w:proofErr w:type="spellEnd"/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  <w:r w:rsidRPr="00054542">
              <w:rPr>
                <w:iCs/>
                <w:sz w:val="24"/>
                <w:szCs w:val="24"/>
                <w:lang w:val="es-ES"/>
              </w:rPr>
              <w:t>3</w:t>
            </w: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iCs/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Kết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quả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đánh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giá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về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kỹ</w:t>
            </w:r>
            <w:proofErr w:type="spellEnd"/>
            <w:r w:rsidRPr="00054542">
              <w:rPr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iCs/>
                <w:sz w:val="24"/>
                <w:szCs w:val="24"/>
                <w:lang w:val="es-ES"/>
              </w:rPr>
              <w:t>thuật</w:t>
            </w:r>
            <w:proofErr w:type="spellEnd"/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Phương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pháp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giá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thấp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nhất</w:t>
            </w:r>
            <w:proofErr w:type="spellEnd"/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  <w:r w:rsidRPr="00054542">
              <w:rPr>
                <w:iCs/>
                <w:sz w:val="24"/>
                <w:szCs w:val="24"/>
                <w:lang w:val="es-ES"/>
              </w:rPr>
              <w:t>4</w:t>
            </w: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sz w:val="24"/>
                <w:szCs w:val="24"/>
                <w:lang w:val="es-ES"/>
              </w:rPr>
            </w:pPr>
            <w:r w:rsidRPr="00054542">
              <w:rPr>
                <w:bCs/>
                <w:sz w:val="24"/>
                <w:szCs w:val="24"/>
                <w:lang w:val="sv-SE"/>
              </w:rPr>
              <w:t>Giá dự thầu sau hiệu chỉnh sai lệch thừa (nếu có) trừ giá trị giảm giá (nếu có), tính ưu đãi (nếu có)</w:t>
            </w:r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  <w:r w:rsidRPr="00054542">
              <w:rPr>
                <w:iCs/>
                <w:sz w:val="24"/>
                <w:szCs w:val="24"/>
                <w:lang w:val="es-ES"/>
              </w:rPr>
              <w:t>5</w:t>
            </w: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sz w:val="24"/>
                <w:szCs w:val="24"/>
                <w:vertAlign w:val="superscript"/>
                <w:lang w:val="es-ES"/>
              </w:rPr>
            </w:pPr>
            <w:proofErr w:type="spellStart"/>
            <w:r w:rsidRPr="00054542">
              <w:rPr>
                <w:sz w:val="24"/>
                <w:szCs w:val="24"/>
                <w:lang w:val="es-ES"/>
              </w:rPr>
              <w:t>Xếp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hạng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các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E-HSDT</w:t>
            </w:r>
            <w:r w:rsidRPr="00054542">
              <w:rPr>
                <w:sz w:val="24"/>
                <w:szCs w:val="24"/>
                <w:vertAlign w:val="superscript"/>
                <w:lang w:val="es-ES"/>
              </w:rPr>
              <w:t>*</w:t>
            </w:r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Phương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pháp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giá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đánh</w:t>
            </w:r>
            <w:proofErr w:type="spellEnd"/>
            <w:r w:rsidRPr="00054542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b/>
                <w:sz w:val="24"/>
                <w:szCs w:val="24"/>
                <w:lang w:val="es-ES"/>
              </w:rPr>
              <w:t>giá</w:t>
            </w:r>
            <w:proofErr w:type="spellEnd"/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  <w:r w:rsidRPr="00054542">
              <w:rPr>
                <w:iCs/>
                <w:sz w:val="24"/>
                <w:szCs w:val="24"/>
                <w:lang w:val="es-ES"/>
              </w:rPr>
              <w:t>6</w:t>
            </w: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sz w:val="24"/>
                <w:szCs w:val="24"/>
                <w:lang w:val="es-ES"/>
              </w:rPr>
            </w:pPr>
            <w:proofErr w:type="spellStart"/>
            <w:r w:rsidRPr="00054542">
              <w:rPr>
                <w:sz w:val="24"/>
                <w:szCs w:val="24"/>
                <w:lang w:val="es-ES"/>
              </w:rPr>
              <w:t>Giá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đánh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giá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sau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khi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tính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ưu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4542">
              <w:rPr>
                <w:sz w:val="24"/>
                <w:szCs w:val="24"/>
                <w:lang w:val="es-ES"/>
              </w:rPr>
              <w:t>đãi</w:t>
            </w:r>
            <w:proofErr w:type="spellEnd"/>
            <w:r w:rsidRPr="00054542">
              <w:rPr>
                <w:sz w:val="24"/>
                <w:szCs w:val="24"/>
                <w:lang w:val="es-ES"/>
              </w:rPr>
              <w:t>)</w:t>
            </w:r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  <w:tr w:rsidR="00BB05F1" w:rsidRPr="00054542" w:rsidTr="00C01B26">
        <w:tc>
          <w:tcPr>
            <w:tcW w:w="428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  <w:r w:rsidRPr="00054542">
              <w:rPr>
                <w:iCs/>
                <w:sz w:val="24"/>
                <w:szCs w:val="24"/>
                <w:lang w:val="es-ES"/>
              </w:rPr>
              <w:t>7</w:t>
            </w:r>
          </w:p>
        </w:tc>
        <w:tc>
          <w:tcPr>
            <w:tcW w:w="3032" w:type="pct"/>
            <w:vAlign w:val="center"/>
          </w:tcPr>
          <w:p w:rsidR="00BB05F1" w:rsidRPr="00054542" w:rsidRDefault="00BB05F1" w:rsidP="00C01B26">
            <w:pPr>
              <w:spacing w:before="60" w:after="60" w:line="420" w:lineRule="exact"/>
              <w:rPr>
                <w:sz w:val="24"/>
                <w:szCs w:val="24"/>
                <w:vertAlign w:val="superscript"/>
                <w:lang w:val="pt-BR"/>
              </w:rPr>
            </w:pPr>
            <w:r w:rsidRPr="00054542">
              <w:rPr>
                <w:sz w:val="24"/>
                <w:szCs w:val="24"/>
                <w:lang w:val="pt-BR"/>
              </w:rPr>
              <w:t>Xếp hạng các E-HSDT</w:t>
            </w:r>
            <w:r w:rsidRPr="00054542">
              <w:rPr>
                <w:sz w:val="24"/>
                <w:szCs w:val="24"/>
                <w:vertAlign w:val="superscript"/>
                <w:lang w:val="pt-BR"/>
              </w:rPr>
              <w:t>*</w:t>
            </w:r>
          </w:p>
        </w:tc>
        <w:tc>
          <w:tcPr>
            <w:tcW w:w="523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545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  <w:tc>
          <w:tcPr>
            <w:tcW w:w="472" w:type="pct"/>
          </w:tcPr>
          <w:p w:rsidR="00BB05F1" w:rsidRPr="00054542" w:rsidRDefault="00BB05F1" w:rsidP="00C01B26">
            <w:pPr>
              <w:spacing w:before="60" w:after="60" w:line="420" w:lineRule="exact"/>
              <w:jc w:val="center"/>
              <w:rPr>
                <w:iCs/>
                <w:sz w:val="24"/>
                <w:szCs w:val="24"/>
                <w:lang w:val="es-ES"/>
              </w:rPr>
            </w:pPr>
          </w:p>
        </w:tc>
      </w:tr>
    </w:tbl>
    <w:p w:rsidR="00BB05F1" w:rsidRPr="00054542" w:rsidRDefault="00BB05F1" w:rsidP="00BB05F1">
      <w:pPr>
        <w:spacing w:before="80" w:line="420" w:lineRule="exact"/>
        <w:ind w:firstLine="454"/>
        <w:rPr>
          <w:i/>
          <w:sz w:val="24"/>
          <w:szCs w:val="24"/>
          <w:lang w:val="es-ES"/>
        </w:rPr>
      </w:pPr>
      <w:proofErr w:type="spellStart"/>
      <w:r w:rsidRPr="00054542">
        <w:rPr>
          <w:i/>
          <w:sz w:val="24"/>
          <w:szCs w:val="24"/>
          <w:lang w:val="es-ES"/>
        </w:rPr>
        <w:t>Ghi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chú</w:t>
      </w:r>
      <w:proofErr w:type="spellEnd"/>
      <w:r w:rsidRPr="00054542">
        <w:rPr>
          <w:i/>
          <w:sz w:val="24"/>
          <w:szCs w:val="24"/>
          <w:lang w:val="es-ES"/>
        </w:rPr>
        <w:t xml:space="preserve"> *:</w:t>
      </w:r>
    </w:p>
    <w:p w:rsidR="00BB05F1" w:rsidRPr="00054542" w:rsidRDefault="00BB05F1" w:rsidP="00BB05F1">
      <w:pPr>
        <w:spacing w:before="80" w:line="420" w:lineRule="exact"/>
        <w:ind w:firstLine="454"/>
        <w:jc w:val="both"/>
        <w:rPr>
          <w:i/>
          <w:sz w:val="24"/>
          <w:szCs w:val="24"/>
          <w:lang w:val="es-ES"/>
        </w:rPr>
      </w:pPr>
      <w:r w:rsidRPr="00054542">
        <w:rPr>
          <w:i/>
          <w:iCs/>
          <w:sz w:val="24"/>
          <w:szCs w:val="24"/>
          <w:lang w:val="es-ES"/>
        </w:rPr>
        <w:t xml:space="preserve">- </w:t>
      </w:r>
      <w:proofErr w:type="spellStart"/>
      <w:r w:rsidRPr="00054542">
        <w:rPr>
          <w:i/>
          <w:iCs/>
          <w:sz w:val="24"/>
          <w:szCs w:val="24"/>
          <w:lang w:val="es-ES"/>
        </w:rPr>
        <w:t>Đối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với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gói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thầu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áp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dụng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loại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hợp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đồng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theo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đơn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giá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cố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định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hoặc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đơn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giá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điều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chỉnh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54542">
        <w:rPr>
          <w:i/>
          <w:iCs/>
          <w:sz w:val="24"/>
          <w:szCs w:val="24"/>
          <w:lang w:val="es-ES"/>
        </w:rPr>
        <w:t>hợp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đồng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theo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thời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gian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đối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với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gói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thầu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phi </w:t>
      </w:r>
      <w:proofErr w:type="spellStart"/>
      <w:r w:rsidRPr="00054542">
        <w:rPr>
          <w:i/>
          <w:iCs/>
          <w:sz w:val="24"/>
          <w:szCs w:val="24"/>
          <w:lang w:val="es-ES"/>
        </w:rPr>
        <w:t>tư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vấn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54542">
        <w:rPr>
          <w:i/>
          <w:iCs/>
          <w:sz w:val="24"/>
          <w:szCs w:val="24"/>
          <w:lang w:val="es-ES"/>
        </w:rPr>
        <w:t>chi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phí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dự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phòng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không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dùng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để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so </w:t>
      </w:r>
      <w:proofErr w:type="spellStart"/>
      <w:r w:rsidRPr="00054542">
        <w:rPr>
          <w:i/>
          <w:iCs/>
          <w:sz w:val="24"/>
          <w:szCs w:val="24"/>
          <w:lang w:val="es-ES"/>
        </w:rPr>
        <w:t>sánh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54542">
        <w:rPr>
          <w:i/>
          <w:iCs/>
          <w:sz w:val="24"/>
          <w:szCs w:val="24"/>
          <w:lang w:val="es-ES"/>
        </w:rPr>
        <w:t>xếp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hạng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nhà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thầu</w:t>
      </w:r>
      <w:proofErr w:type="spellEnd"/>
      <w:r w:rsidRPr="00054542">
        <w:rPr>
          <w:i/>
          <w:iCs/>
          <w:sz w:val="24"/>
          <w:szCs w:val="24"/>
          <w:lang w:val="es-ES"/>
        </w:rPr>
        <w:t>.</w:t>
      </w:r>
    </w:p>
    <w:p w:rsidR="00BB05F1" w:rsidRPr="00054542" w:rsidRDefault="00BB05F1" w:rsidP="00BB05F1">
      <w:pPr>
        <w:spacing w:before="80" w:line="420" w:lineRule="exact"/>
        <w:ind w:left="1" w:firstLine="454"/>
        <w:jc w:val="both"/>
        <w:rPr>
          <w:i/>
          <w:sz w:val="24"/>
          <w:szCs w:val="24"/>
          <w:lang w:val="es-ES"/>
        </w:rPr>
      </w:pPr>
      <w:r w:rsidRPr="00054542">
        <w:rPr>
          <w:i/>
          <w:iCs/>
          <w:sz w:val="24"/>
          <w:szCs w:val="24"/>
          <w:lang w:val="es-ES"/>
        </w:rPr>
        <w:t xml:space="preserve">- </w:t>
      </w:r>
      <w:proofErr w:type="spellStart"/>
      <w:r w:rsidRPr="00054542">
        <w:rPr>
          <w:i/>
          <w:iCs/>
          <w:sz w:val="24"/>
          <w:szCs w:val="24"/>
          <w:lang w:val="es-ES"/>
        </w:rPr>
        <w:t>Trường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hợp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E-HSDT </w:t>
      </w:r>
      <w:proofErr w:type="spellStart"/>
      <w:r w:rsidRPr="00054542">
        <w:rPr>
          <w:i/>
          <w:iCs/>
          <w:sz w:val="24"/>
          <w:szCs w:val="24"/>
          <w:lang w:val="es-ES"/>
        </w:rPr>
        <w:t>của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các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nhà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thầu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được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đánh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giá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ngang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nhau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thì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thực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hiện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xếp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hạng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theo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quy</w:t>
      </w:r>
      <w:proofErr w:type="spellEnd"/>
      <w:r w:rsidRPr="00054542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iCs/>
          <w:sz w:val="24"/>
          <w:szCs w:val="24"/>
          <w:lang w:val="es-ES"/>
        </w:rPr>
        <w:t>định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tại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r w:rsidRPr="00054542">
        <w:rPr>
          <w:i/>
          <w:spacing w:val="2"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khoản</w:t>
      </w:r>
      <w:proofErr w:type="spellEnd"/>
      <w:r w:rsidRPr="00054542">
        <w:rPr>
          <w:i/>
          <w:sz w:val="24"/>
          <w:szCs w:val="24"/>
          <w:lang w:val="es-ES"/>
        </w:rPr>
        <w:t xml:space="preserve"> 18 </w:t>
      </w:r>
      <w:proofErr w:type="spellStart"/>
      <w:r w:rsidRPr="00054542">
        <w:rPr>
          <w:i/>
          <w:sz w:val="24"/>
          <w:szCs w:val="24"/>
          <w:lang w:val="es-ES"/>
        </w:rPr>
        <w:t>Điều</w:t>
      </w:r>
      <w:proofErr w:type="spellEnd"/>
      <w:r w:rsidRPr="00054542">
        <w:rPr>
          <w:i/>
          <w:sz w:val="24"/>
          <w:szCs w:val="24"/>
          <w:lang w:val="es-ES"/>
        </w:rPr>
        <w:t xml:space="preserve"> 131 </w:t>
      </w:r>
      <w:proofErr w:type="spellStart"/>
      <w:r w:rsidRPr="00054542">
        <w:rPr>
          <w:i/>
          <w:sz w:val="24"/>
          <w:szCs w:val="24"/>
          <w:lang w:val="es-ES"/>
        </w:rPr>
        <w:t>của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Nghị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định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số</w:t>
      </w:r>
      <w:proofErr w:type="spellEnd"/>
      <w:r w:rsidRPr="00054542">
        <w:rPr>
          <w:i/>
          <w:sz w:val="24"/>
          <w:szCs w:val="24"/>
          <w:lang w:val="es-ES"/>
        </w:rPr>
        <w:t xml:space="preserve"> 24/2024/NĐ-CP;</w:t>
      </w:r>
    </w:p>
    <w:p w:rsidR="00BB05F1" w:rsidRPr="00054542" w:rsidRDefault="00BB05F1" w:rsidP="00BB05F1">
      <w:pPr>
        <w:spacing w:before="80" w:line="420" w:lineRule="exact"/>
        <w:ind w:firstLine="454"/>
        <w:jc w:val="both"/>
        <w:rPr>
          <w:i/>
          <w:sz w:val="24"/>
          <w:szCs w:val="24"/>
          <w:lang w:val="es-ES"/>
        </w:rPr>
      </w:pPr>
      <w:r w:rsidRPr="00054542">
        <w:rPr>
          <w:i/>
          <w:sz w:val="24"/>
          <w:szCs w:val="24"/>
          <w:lang w:val="es-ES"/>
        </w:rPr>
        <w:t xml:space="preserve">- </w:t>
      </w:r>
      <w:proofErr w:type="spellStart"/>
      <w:r w:rsidRPr="00054542">
        <w:rPr>
          <w:i/>
          <w:sz w:val="24"/>
          <w:szCs w:val="24"/>
          <w:lang w:val="es-ES"/>
        </w:rPr>
        <w:t>Trường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hợp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chỉ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có</w:t>
      </w:r>
      <w:proofErr w:type="spellEnd"/>
      <w:r w:rsidRPr="00054542">
        <w:rPr>
          <w:i/>
          <w:sz w:val="24"/>
          <w:szCs w:val="24"/>
          <w:lang w:val="es-ES"/>
        </w:rPr>
        <w:t xml:space="preserve"> 1 </w:t>
      </w:r>
      <w:proofErr w:type="spellStart"/>
      <w:r w:rsidRPr="00054542">
        <w:rPr>
          <w:i/>
          <w:sz w:val="24"/>
          <w:szCs w:val="24"/>
          <w:lang w:val="es-ES"/>
        </w:rPr>
        <w:t>nhà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thầu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đáp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ứng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yêu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cầu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về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kỹ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thuật</w:t>
      </w:r>
      <w:proofErr w:type="spellEnd"/>
      <w:r w:rsidRPr="00054542">
        <w:rPr>
          <w:i/>
          <w:sz w:val="24"/>
          <w:szCs w:val="24"/>
          <w:lang w:val="es-ES"/>
        </w:rPr>
        <w:t xml:space="preserve">, </w:t>
      </w:r>
      <w:proofErr w:type="spellStart"/>
      <w:r w:rsidRPr="00054542">
        <w:rPr>
          <w:i/>
          <w:sz w:val="24"/>
          <w:szCs w:val="24"/>
          <w:lang w:val="es-ES"/>
        </w:rPr>
        <w:t>không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cần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xác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định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ưu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đãi</w:t>
      </w:r>
      <w:proofErr w:type="spellEnd"/>
      <w:r w:rsidRPr="00054542">
        <w:rPr>
          <w:i/>
          <w:sz w:val="24"/>
          <w:szCs w:val="24"/>
          <w:lang w:val="es-ES"/>
        </w:rPr>
        <w:t xml:space="preserve">, </w:t>
      </w:r>
      <w:proofErr w:type="spellStart"/>
      <w:r w:rsidRPr="00054542">
        <w:rPr>
          <w:i/>
          <w:sz w:val="24"/>
          <w:szCs w:val="24"/>
          <w:lang w:val="es-ES"/>
        </w:rPr>
        <w:t>giá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đánh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giá</w:t>
      </w:r>
      <w:proofErr w:type="spellEnd"/>
      <w:r w:rsidRPr="00054542">
        <w:rPr>
          <w:i/>
          <w:sz w:val="24"/>
          <w:szCs w:val="24"/>
          <w:lang w:val="es-ES"/>
        </w:rPr>
        <w:t xml:space="preserve">, </w:t>
      </w:r>
      <w:proofErr w:type="spellStart"/>
      <w:r w:rsidRPr="00054542">
        <w:rPr>
          <w:i/>
          <w:sz w:val="24"/>
          <w:szCs w:val="24"/>
          <w:lang w:val="es-ES"/>
        </w:rPr>
        <w:t>xếp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hạng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nhà</w:t>
      </w:r>
      <w:proofErr w:type="spellEnd"/>
      <w:r w:rsidRPr="00054542">
        <w:rPr>
          <w:i/>
          <w:sz w:val="24"/>
          <w:szCs w:val="24"/>
          <w:lang w:val="es-ES"/>
        </w:rPr>
        <w:t xml:space="preserve"> </w:t>
      </w:r>
      <w:proofErr w:type="spellStart"/>
      <w:r w:rsidRPr="00054542">
        <w:rPr>
          <w:i/>
          <w:sz w:val="24"/>
          <w:szCs w:val="24"/>
          <w:lang w:val="es-ES"/>
        </w:rPr>
        <w:t>thầu</w:t>
      </w:r>
      <w:proofErr w:type="spellEnd"/>
      <w:r w:rsidRPr="00054542">
        <w:rPr>
          <w:i/>
          <w:sz w:val="24"/>
          <w:szCs w:val="24"/>
          <w:lang w:val="es-ES"/>
        </w:rPr>
        <w:t xml:space="preserve">. </w:t>
      </w: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F1"/>
    <w:rsid w:val="009471B5"/>
    <w:rsid w:val="00B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774C3A-C0DB-4D67-A231-C7C35495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BB05F1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2024-08-21T01:37:00Z</dcterms:created>
  <dcterms:modified xsi:type="dcterms:W3CDTF">2024-08-21T01:37:00Z</dcterms:modified>
</cp:coreProperties>
</file>