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7.xml" ContentType="application/vnd.openxmlformats-officedocument.wordprocessingml.head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639"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544"/>
        <w:gridCol w:w="6095"/>
      </w:tblGrid>
      <w:tr>
        <w:trPr>
          <w:trHeight w:val="699" w:hRule="atLeast"/>
        </w:trPr>
        <w:tc>
          <w:tcPr>
            <w:tcW w:w="3544" w:type="dxa"/>
            <w:tcBorders/>
          </w:tcPr>
          <w:p>
            <w:pPr>
              <w:pStyle w:val="NormalWeb"/>
              <w:spacing w:beforeAutospacing="0" w:before="0" w:after="0"/>
              <w:jc w:val="center"/>
              <w:rPr>
                <w:sz w:val="28"/>
                <w:szCs w:val="28"/>
                <w:lang w:val="vi-VN"/>
              </w:rPr>
            </w:pPr>
            <w:r>
              <mc:AlternateContent>
                <mc:Choice Requires="wps">
                  <w:drawing>
                    <wp:anchor distT="0" distB="19050" distL="0" distR="19050" simplePos="0" relativeHeight="2" behindDoc="0" locked="0" layoutInCell="1" allowOverlap="1" wp14:anchorId="63E425E9">
                      <wp:simplePos x="0" y="0"/>
                      <wp:positionH relativeFrom="column">
                        <wp:posOffset>626110</wp:posOffset>
                      </wp:positionH>
                      <wp:positionV relativeFrom="paragraph">
                        <wp:posOffset>417830</wp:posOffset>
                      </wp:positionV>
                      <wp:extent cx="647700" cy="0"/>
                      <wp:effectExtent l="5080" t="5080" r="5080" b="5080"/>
                      <wp:wrapNone/>
                      <wp:docPr id="1" name="Straight Connector 2"/>
                      <a:graphic xmlns:a="http://schemas.openxmlformats.org/drawingml/2006/main">
                        <a:graphicData uri="http://schemas.microsoft.com/office/word/2010/wordprocessingShape">
                          <wps:wsp>
                            <wps:cNvSpPr/>
                            <wps:spPr>
                              <a:xfrm>
                                <a:off x="0" y="0"/>
                                <a:ext cx="64764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49.3pt,32.9pt" to="100.25pt,32.9pt" stroked="t" o:allowincell="t" style="position:absolute" wp14:anchorId="63E425E9">
                      <v:stroke color="black" weight="9360" joinstyle="round" endcap="flat"/>
                      <v:fill o:detectmouseclick="t" on="false"/>
                      <w10:wrap type="none"/>
                    </v:line>
                  </w:pict>
                </mc:Fallback>
              </mc:AlternateContent>
            </w:r>
            <w:r>
              <w:rPr>
                <w:b/>
                <w:bCs/>
                <w:sz w:val="28"/>
                <w:szCs w:val="28"/>
              </w:rPr>
              <w:t>HỘI ĐỒNG NHÂN DÂN</w:t>
              <w:br/>
              <w:t>THÀNH PHỐ ĐÀ NẴNG</w:t>
            </w:r>
          </w:p>
        </w:tc>
        <w:tc>
          <w:tcPr>
            <w:tcW w:w="6095" w:type="dxa"/>
            <w:tcBorders/>
          </w:tcPr>
          <w:p>
            <w:pPr>
              <w:pStyle w:val="NormalWeb"/>
              <w:spacing w:beforeAutospacing="0" w:before="0" w:after="0"/>
              <w:jc w:val="center"/>
              <w:rPr>
                <w:sz w:val="28"/>
                <w:szCs w:val="28"/>
              </w:rPr>
            </w:pPr>
            <w:r>
              <mc:AlternateContent>
                <mc:Choice Requires="wps">
                  <w:drawing>
                    <wp:anchor distT="0" distB="19050" distL="0" distR="26670" simplePos="0" relativeHeight="3" behindDoc="0" locked="0" layoutInCell="1" allowOverlap="1" wp14:anchorId="428F3C14">
                      <wp:simplePos x="0" y="0"/>
                      <wp:positionH relativeFrom="column">
                        <wp:posOffset>719455</wp:posOffset>
                      </wp:positionH>
                      <wp:positionV relativeFrom="paragraph">
                        <wp:posOffset>432435</wp:posOffset>
                      </wp:positionV>
                      <wp:extent cx="2145030" cy="0"/>
                      <wp:effectExtent l="5080" t="5080" r="5080" b="5080"/>
                      <wp:wrapNone/>
                      <wp:docPr id="2" name="Straight Connector 2"/>
                      <a:graphic xmlns:a="http://schemas.openxmlformats.org/drawingml/2006/main">
                        <a:graphicData uri="http://schemas.microsoft.com/office/word/2010/wordprocessingShape">
                          <wps:wsp>
                            <wps:cNvSpPr/>
                            <wps:spPr>
                              <a:xfrm>
                                <a:off x="0" y="0"/>
                                <a:ext cx="214488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56.65pt,34.05pt" to="225.5pt,34.05pt" stroked="t" o:allowincell="t" style="position:absolute" wp14:anchorId="428F3C14">
                      <v:stroke color="black" weight="9360" joinstyle="round" endcap="flat"/>
                      <v:fill o:detectmouseclick="t" on="false"/>
                      <w10:wrap type="none"/>
                    </v:line>
                  </w:pict>
                </mc:Fallback>
              </mc:AlternateContent>
            </w:r>
            <w:r>
              <w:rPr>
                <w:b/>
                <w:bCs/>
                <w:sz w:val="28"/>
                <w:szCs w:val="28"/>
                <w:lang w:val="vi-VN"/>
              </w:rPr>
              <w:t>CỘNG HÒA XÃ HỘI CHỦ NGHĨA VIỆT NAM</w:t>
              <w:br/>
              <w:t xml:space="preserve">Độc lập - Tự do - Hạnh phúc </w:t>
              <w:br/>
            </w:r>
          </w:p>
        </w:tc>
      </w:tr>
      <w:tr>
        <w:trPr/>
        <w:tc>
          <w:tcPr>
            <w:tcW w:w="3544" w:type="dxa"/>
            <w:tcBorders/>
          </w:tcPr>
          <w:p>
            <w:pPr>
              <w:pStyle w:val="NormalWeb"/>
              <w:spacing w:beforeAutospacing="0" w:before="120" w:afterAutospacing="0" w:after="0"/>
              <w:jc w:val="center"/>
              <w:rPr>
                <w:sz w:val="28"/>
                <w:szCs w:val="28"/>
              </w:rPr>
            </w:pPr>
            <w:r>
              <w:rPr>
                <w:sz w:val="28"/>
                <w:szCs w:val="28"/>
                <w:lang w:val="vi-VN"/>
              </w:rPr>
              <w:t>Số:</w:t>
            </w:r>
            <w:r>
              <w:rPr>
                <w:sz w:val="28"/>
                <w:szCs w:val="28"/>
              </w:rPr>
              <w:t xml:space="preserve">        /2026/NQ-HĐND</w:t>
            </w:r>
          </w:p>
        </w:tc>
        <w:tc>
          <w:tcPr>
            <w:tcW w:w="6095" w:type="dxa"/>
            <w:tcBorders/>
          </w:tcPr>
          <w:p>
            <w:pPr>
              <w:pStyle w:val="NormalWeb"/>
              <w:spacing w:beforeAutospacing="0" w:before="120" w:afterAutospacing="0" w:after="0"/>
              <w:jc w:val="center"/>
              <w:rPr>
                <w:sz w:val="28"/>
                <w:szCs w:val="28"/>
              </w:rPr>
            </w:pPr>
            <w:r>
              <w:rPr>
                <w:i/>
                <w:iCs/>
                <w:sz w:val="28"/>
                <w:szCs w:val="28"/>
              </w:rPr>
              <w:t>Đà Nẵng</w:t>
            </w:r>
            <w:r>
              <w:rPr>
                <w:i/>
                <w:iCs/>
                <w:sz w:val="28"/>
                <w:szCs w:val="28"/>
                <w:lang w:val="vi-VN"/>
              </w:rPr>
              <w:t xml:space="preserve">, ngày </w:t>
            </w:r>
            <w:r>
              <w:rPr>
                <w:i/>
                <w:iCs/>
                <w:sz w:val="28"/>
                <w:szCs w:val="28"/>
              </w:rPr>
              <w:t xml:space="preserve">    </w:t>
            </w:r>
            <w:r>
              <w:rPr>
                <w:i/>
                <w:iCs/>
                <w:sz w:val="28"/>
                <w:szCs w:val="28"/>
                <w:lang w:val="vi-VN"/>
              </w:rPr>
              <w:t xml:space="preserve"> tháng</w:t>
            </w:r>
            <w:r>
              <w:rPr>
                <w:i/>
                <w:iCs/>
                <w:sz w:val="28"/>
                <w:szCs w:val="28"/>
              </w:rPr>
              <w:t xml:space="preserve">    </w:t>
            </w:r>
            <w:r>
              <w:rPr>
                <w:i/>
                <w:iCs/>
                <w:sz w:val="28"/>
                <w:szCs w:val="28"/>
                <w:lang w:val="vi-VN"/>
              </w:rPr>
              <w:t>năm</w:t>
            </w:r>
            <w:r>
              <w:rPr>
                <w:i/>
                <w:iCs/>
                <w:sz w:val="28"/>
                <w:szCs w:val="28"/>
              </w:rPr>
              <w:t xml:space="preserve"> 2026</w:t>
            </w:r>
          </w:p>
        </w:tc>
      </w:tr>
    </w:tbl>
    <w:p>
      <w:pPr>
        <w:pStyle w:val="NormalWeb"/>
        <w:spacing w:beforeAutospacing="0" w:before="120" w:afterAutospacing="0" w:after="0"/>
        <w:rPr>
          <w:b/>
          <w:bCs/>
          <w:sz w:val="28"/>
          <w:szCs w:val="28"/>
          <w:lang w:val="vi-VN"/>
        </w:rPr>
      </w:pPr>
      <w:r>
        <w:rPr>
          <w:b/>
          <w:bCs/>
          <w:sz w:val="28"/>
          <w:szCs w:val="28"/>
          <w:lang w:val="vi-VN"/>
        </w:rPr>
        <mc:AlternateContent>
          <mc:Choice Requires="wps">
            <w:drawing>
              <wp:anchor distT="0" distB="28575" distL="0" distR="19050" simplePos="0" relativeHeight="5" behindDoc="0" locked="0" layoutInCell="1" allowOverlap="1" wp14:anchorId="22006F3C">
                <wp:simplePos x="0" y="0"/>
                <wp:positionH relativeFrom="column">
                  <wp:posOffset>409575</wp:posOffset>
                </wp:positionH>
                <wp:positionV relativeFrom="paragraph">
                  <wp:posOffset>77470</wp:posOffset>
                </wp:positionV>
                <wp:extent cx="1504950" cy="466725"/>
                <wp:effectExtent l="5080" t="5715" r="5080" b="4445"/>
                <wp:wrapNone/>
                <wp:docPr id="3" name="Rectangle 4"/>
                <a:graphic xmlns:a="http://schemas.openxmlformats.org/drawingml/2006/main">
                  <a:graphicData uri="http://schemas.microsoft.com/office/word/2010/wordprocessingShape">
                    <wps:wsp>
                      <wps:cNvSpPr/>
                      <wps:spPr>
                        <a:xfrm>
                          <a:off x="0" y="0"/>
                          <a:ext cx="1504800" cy="466560"/>
                        </a:xfrm>
                        <a:prstGeom prst="rect">
                          <a:avLst/>
                        </a:prstGeom>
                        <a:solidFill>
                          <a:srgbClr val="FFFFFF"/>
                        </a:solidFill>
                        <a:ln w="9525">
                          <a:solidFill>
                            <a:srgbClr val="000000"/>
                          </a:solidFill>
                        </a:ln>
                      </wps:spPr>
                      <wps:style>
                        <a:lnRef idx="2">
                          <a:schemeClr val="dk1"/>
                        </a:lnRef>
                        <a:fillRef idx="1">
                          <a:schemeClr val="lt1"/>
                        </a:fillRef>
                        <a:effectRef idx="0">
                          <a:schemeClr val="dk1"/>
                        </a:effectRef>
                        <a:fontRef idx="minor"/>
                      </wps:style>
                      <wps:txbx>
                        <w:txbxContent>
                          <w:p>
                            <w:pPr>
                              <w:pStyle w:val="FrameContents"/>
                              <w:jc w:val="center"/>
                              <w:rPr>
                                <w:bCs/>
                                <w:sz w:val="24"/>
                              </w:rPr>
                            </w:pPr>
                            <w:r>
                              <w:rPr>
                                <w:bCs/>
                                <w:color w:val="000000"/>
                                <w:sz w:val="24"/>
                              </w:rPr>
                              <w:t>DỰ THẢO</w:t>
                            </w:r>
                          </w:p>
                          <w:p>
                            <w:pPr>
                              <w:pStyle w:val="FrameContents"/>
                              <w:jc w:val="center"/>
                              <w:rPr>
                                <w:bCs/>
                                <w:i/>
                                <w:sz w:val="24"/>
                              </w:rPr>
                            </w:pPr>
                            <w:r>
                              <w:rPr>
                                <w:bCs/>
                                <w:i/>
                                <w:color w:val="000000"/>
                                <w:sz w:val="24"/>
                              </w:rPr>
                              <w:t xml:space="preserve">(Ngày </w:t>
                            </w:r>
                            <w:r>
                              <w:rPr>
                                <w:bCs/>
                                <w:i/>
                                <w:color w:val="000000"/>
                                <w:sz w:val="24"/>
                                <w:lang w:val="en-US"/>
                              </w:rPr>
                              <w:t>15</w:t>
                            </w:r>
                            <w:r>
                              <w:rPr>
                                <w:bCs/>
                                <w:i/>
                                <w:color w:val="000000"/>
                                <w:sz w:val="24"/>
                              </w:rPr>
                              <w:t>.6.2026)</w:t>
                            </w:r>
                          </w:p>
                        </w:txbxContent>
                      </wps:txbx>
                      <wps:bodyPr anchor="ctr">
                        <a:prstTxWarp prst="textNoShape"/>
                        <a:noAutofit/>
                      </wps:bodyPr>
                    </wps:wsp>
                  </a:graphicData>
                </a:graphic>
              </wp:anchor>
            </w:drawing>
          </mc:Choice>
          <mc:Fallback>
            <w:pict>
              <v:rect id="shape_0" fillcolor="white" stroked="t" o:allowincell="f" style="position:absolute;margin-left:32.25pt;margin-top:6.1pt;width:118.45pt;height:36.7pt;mso-wrap-style:square;v-text-anchor:middle" wp14:anchorId="22006F3C">
                <v:fill o:detectmouseclick="t" type="solid" color2="black"/>
                <v:stroke color="black" weight="9360" joinstyle="miter" endcap="flat"/>
                <v:textbox>
                  <w:txbxContent>
                    <w:p>
                      <w:pPr>
                        <w:pStyle w:val="FrameContents"/>
                        <w:jc w:val="center"/>
                        <w:rPr>
                          <w:bCs/>
                          <w:sz w:val="24"/>
                        </w:rPr>
                      </w:pPr>
                      <w:r>
                        <w:rPr>
                          <w:bCs/>
                          <w:color w:val="000000"/>
                          <w:sz w:val="24"/>
                        </w:rPr>
                        <w:t>DỰ THẢO</w:t>
                      </w:r>
                    </w:p>
                    <w:p>
                      <w:pPr>
                        <w:pStyle w:val="FrameContents"/>
                        <w:jc w:val="center"/>
                        <w:rPr>
                          <w:bCs/>
                          <w:i/>
                          <w:sz w:val="24"/>
                        </w:rPr>
                      </w:pPr>
                      <w:r>
                        <w:rPr>
                          <w:bCs/>
                          <w:i/>
                          <w:color w:val="000000"/>
                          <w:sz w:val="24"/>
                        </w:rPr>
                        <w:t xml:space="preserve">(Ngày </w:t>
                      </w:r>
                      <w:r>
                        <w:rPr>
                          <w:bCs/>
                          <w:i/>
                          <w:color w:val="000000"/>
                          <w:sz w:val="24"/>
                          <w:lang w:val="en-US"/>
                        </w:rPr>
                        <w:t>15</w:t>
                      </w:r>
                      <w:r>
                        <w:rPr>
                          <w:bCs/>
                          <w:i/>
                          <w:color w:val="000000"/>
                          <w:sz w:val="24"/>
                        </w:rPr>
                        <w:t>.6.2026)</w:t>
                      </w:r>
                    </w:p>
                  </w:txbxContent>
                </v:textbox>
                <w10:wrap type="none"/>
              </v:rect>
            </w:pict>
          </mc:Fallback>
        </mc:AlternateContent>
      </w:r>
    </w:p>
    <w:p>
      <w:pPr>
        <w:pStyle w:val="NormalWeb"/>
        <w:spacing w:beforeAutospacing="0" w:before="240" w:afterAutospacing="0" w:after="0"/>
        <w:jc w:val="center"/>
        <w:rPr>
          <w:rFonts w:ascii="Times New Roman Bold" w:hAnsi="Times New Roman Bold"/>
          <w:b/>
          <w:bCs/>
          <w:spacing w:val="2"/>
          <w:sz w:val="28"/>
          <w:szCs w:val="28"/>
          <w:lang w:val="vi-VN"/>
        </w:rPr>
      </w:pPr>
      <w:r>
        <w:rPr>
          <w:rFonts w:ascii="Times New Roman Bold" w:hAnsi="Times New Roman Bold"/>
          <w:b/>
          <w:bCs/>
          <w:spacing w:val="2"/>
          <w:sz w:val="28"/>
          <w:szCs w:val="28"/>
          <w:lang w:val="vi-VN"/>
        </w:rPr>
        <w:t>NGHỊ QUYẾT</w:t>
      </w:r>
    </w:p>
    <w:p>
      <w:pPr>
        <w:pStyle w:val="Normal"/>
        <w:jc w:val="center"/>
        <w:rPr>
          <w:b/>
          <w:bCs/>
        </w:rPr>
      </w:pPr>
      <w:bookmarkStart w:id="0" w:name="loai_1_name"/>
      <w:r>
        <w:rPr>
          <w:rFonts w:ascii="Times New Roman Bold" w:hAnsi="Times New Roman Bold"/>
          <w:b/>
          <w:spacing w:val="2"/>
          <w:lang w:val="en-US"/>
        </w:rPr>
        <w:t xml:space="preserve">Quy </w:t>
      </w:r>
      <w:r>
        <w:rPr>
          <w:rFonts w:hint="eastAsia" w:ascii="Times New Roman Bold" w:hAnsi="Times New Roman Bold"/>
          <w:b/>
          <w:spacing w:val="2"/>
          <w:lang w:val="en-US"/>
        </w:rPr>
        <w:t>đ</w:t>
      </w:r>
      <w:r>
        <w:rPr>
          <w:rFonts w:ascii="Times New Roman Bold" w:hAnsi="Times New Roman Bold"/>
          <w:b/>
          <w:spacing w:val="2"/>
          <w:lang w:val="en-US"/>
        </w:rPr>
        <w:t xml:space="preserve">ịnh </w:t>
      </w:r>
      <w:bookmarkEnd w:id="0"/>
      <w:r>
        <w:rPr>
          <w:b/>
          <w:bCs/>
          <w:lang w:val="pt-BR"/>
        </w:rPr>
        <w:t xml:space="preserve">số lượng, chức danh, chế độ, chính sách đối với người hoạt động không chuyên trách thôn, tổ dân phố và người tham gia hoạt động ở thôn, tổ dân phố </w:t>
      </w:r>
      <w:r>
        <w:rPr>
          <w:b/>
        </w:rPr>
        <w:t>trên địa bàn thành phố Đà Nẵng</w:t>
      </w:r>
      <w:r>
        <w:rPr/>
        <w:t xml:space="preserve"> </w:t>
      </w:r>
    </w:p>
    <w:p>
      <w:pPr>
        <w:pStyle w:val="NormalWeb"/>
        <w:spacing w:lineRule="auto" w:line="252" w:beforeAutospacing="0" w:before="60" w:afterAutospacing="0" w:after="0"/>
        <w:ind w:firstLine="720"/>
        <w:jc w:val="both"/>
        <w:rPr>
          <w:i/>
          <w:iCs/>
          <w:sz w:val="28"/>
          <w:szCs w:val="28"/>
          <w:lang w:val="vi-VN"/>
        </w:rPr>
      </w:pPr>
      <w:r>
        <w:rPr>
          <w:i/>
          <w:iCs/>
          <w:sz w:val="28"/>
          <w:szCs w:val="28"/>
          <w:lang w:val="vi-VN"/>
        </w:rPr>
        <mc:AlternateContent>
          <mc:Choice Requires="wps">
            <w:drawing>
              <wp:anchor distT="0" distB="0" distL="0" distR="0" simplePos="0" relativeHeight="4" behindDoc="0" locked="0" layoutInCell="0" allowOverlap="1" wp14:anchorId="0C009C57">
                <wp:simplePos x="0" y="0"/>
                <wp:positionH relativeFrom="margin">
                  <wp:posOffset>1880235</wp:posOffset>
                </wp:positionH>
                <wp:positionV relativeFrom="paragraph">
                  <wp:posOffset>62230</wp:posOffset>
                </wp:positionV>
                <wp:extent cx="2103120" cy="635"/>
                <wp:effectExtent l="5080" t="5080" r="5080" b="5080"/>
                <wp:wrapNone/>
                <wp:docPr id="4" name="Straight Connector 1"/>
                <a:graphic xmlns:a="http://schemas.openxmlformats.org/drawingml/2006/main">
                  <a:graphicData uri="http://schemas.microsoft.com/office/word/2010/wordprocessingShape">
                    <wps:wsp>
                      <wps:cNvSpPr/>
                      <wps:spPr>
                        <a:xfrm flipV="1">
                          <a:off x="0" y="0"/>
                          <a:ext cx="210312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148.05pt,4.9pt" to="313.6pt,4.9pt" stroked="t" o:allowincell="f" style="position:absolute;flip:y;mso-position-horizontal-relative:margin" wp14:anchorId="0C009C57">
                <v:stroke color="black" weight="9360" joinstyle="round" endcap="flat"/>
                <v:fill o:detectmouseclick="t" on="false"/>
                <w10:wrap type="none"/>
              </v:line>
            </w:pict>
          </mc:Fallback>
        </mc:AlternateContent>
      </w:r>
    </w:p>
    <w:p>
      <w:pPr>
        <w:pStyle w:val="NormalWeb"/>
        <w:spacing w:beforeAutospacing="0" w:before="120" w:afterAutospacing="0" w:after="120"/>
        <w:ind w:firstLine="720"/>
        <w:jc w:val="both"/>
        <w:rPr>
          <w:i/>
          <w:iCs/>
          <w:sz w:val="28"/>
          <w:szCs w:val="28"/>
        </w:rPr>
      </w:pPr>
      <w:r>
        <w:rPr>
          <w:i/>
          <w:iCs/>
          <w:sz w:val="28"/>
          <w:szCs w:val="28"/>
          <w:lang w:val="vi-VN"/>
        </w:rPr>
        <w:t xml:space="preserve">Căn cứ Luật Tổ chức chính quyền địa phương </w:t>
      </w:r>
      <w:r>
        <w:rPr>
          <w:i/>
          <w:iCs/>
          <w:sz w:val="28"/>
          <w:szCs w:val="28"/>
        </w:rPr>
        <w:t>số 72/2025/QH15;</w:t>
      </w:r>
    </w:p>
    <w:p>
      <w:pPr>
        <w:pStyle w:val="Normal"/>
        <w:spacing w:before="120" w:after="120"/>
        <w:ind w:firstLine="720"/>
        <w:jc w:val="both"/>
        <w:rPr>
          <w:rStyle w:val="fontstyle01"/>
          <w:i/>
          <w:color w:val="auto"/>
        </w:rPr>
      </w:pPr>
      <w:r>
        <w:rPr>
          <w:bCs/>
          <w:i/>
        </w:rPr>
        <w:t xml:space="preserve">Căn cứ Luật Ban hành văn bản quy phạm pháp luật số 64/2025/QH15 và </w:t>
      </w:r>
      <w:r>
        <w:rPr>
          <w:rStyle w:val="fontstyle01"/>
          <w:i/>
          <w:color w:val="auto"/>
        </w:rPr>
        <w:t xml:space="preserve">Luật Ban hành văn bản quy phạm pháp luật số 64/2025/QH15 được sửa đổi, bổ sung bởi Luật số 87/2025/QH15;  </w:t>
      </w:r>
    </w:p>
    <w:p>
      <w:pPr>
        <w:pStyle w:val="Normal"/>
        <w:spacing w:before="120" w:after="120"/>
        <w:ind w:firstLine="720"/>
        <w:jc w:val="both"/>
        <w:rPr/>
      </w:pPr>
      <w:r>
        <w:rPr>
          <w:i/>
          <w:iCs/>
        </w:rPr>
        <w:t>Căn cứ Luật Ngân sách nhà nước số 89/2025/QH15;</w:t>
      </w:r>
    </w:p>
    <w:p>
      <w:pPr>
        <w:pStyle w:val="Normal"/>
        <w:spacing w:before="120" w:after="120"/>
        <w:ind w:firstLine="720"/>
        <w:jc w:val="both"/>
        <w:rPr>
          <w:i/>
          <w:iCs/>
        </w:rPr>
      </w:pPr>
      <w:r>
        <w:rPr>
          <w:i/>
          <w:iCs/>
        </w:rPr>
        <w:t xml:space="preserve">Căn cứ </w:t>
      </w:r>
      <w:r>
        <w:rPr>
          <w:rStyle w:val="fontstyle01"/>
          <w:i/>
          <w:color w:val="auto"/>
        </w:rPr>
        <w:t>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 CP ngày 01 tháng 4 năm 2025 của Chính phủ về kiểm tra, rà soát, hệ thống hóa và xử lý văn bản quy phạm pháp luật;</w:t>
      </w:r>
    </w:p>
    <w:p>
      <w:pPr>
        <w:pStyle w:val="NormalWeb"/>
        <w:spacing w:beforeAutospacing="0" w:before="120" w:afterAutospacing="0" w:after="120"/>
        <w:ind w:firstLine="720"/>
        <w:jc w:val="both"/>
        <w:rPr>
          <w:i/>
          <w:iCs/>
          <w:sz w:val="28"/>
          <w:szCs w:val="28"/>
        </w:rPr>
      </w:pPr>
      <w:r>
        <w:rPr>
          <w:i/>
          <w:iCs/>
          <w:sz w:val="28"/>
          <w:szCs w:val="28"/>
          <w:lang w:val="vi-VN"/>
        </w:rPr>
        <w:t xml:space="preserve">Căn cứ </w:t>
      </w:r>
      <w:r>
        <w:rPr>
          <w:i/>
          <w:iCs/>
          <w:sz w:val="28"/>
          <w:szCs w:val="28"/>
        </w:rPr>
        <w:t>Nghị định</w:t>
      </w:r>
      <w:r>
        <w:rPr>
          <w:i/>
          <w:iCs/>
          <w:sz w:val="28"/>
          <w:szCs w:val="28"/>
          <w:lang w:val="vi-VN"/>
        </w:rPr>
        <w:t xml:space="preserve"> số </w:t>
      </w:r>
      <w:r>
        <w:rPr>
          <w:i/>
          <w:iCs/>
          <w:sz w:val="28"/>
          <w:szCs w:val="28"/>
        </w:rPr>
        <w:t>185/2026/NĐ-CP ngày 26 tháng 5 năm 2026 của Chính phủ quy định về tổ chức, hoạt động của thôn, tổ dân phố và chế độ, chính sách đối với người hoạt động không chuyên trách ở thôn, tổ dân phố;</w:t>
      </w:r>
    </w:p>
    <w:p>
      <w:pPr>
        <w:pStyle w:val="NormalWeb"/>
        <w:spacing w:beforeAutospacing="0" w:before="120" w:afterAutospacing="0" w:after="120"/>
        <w:ind w:firstLine="720"/>
        <w:jc w:val="both"/>
        <w:rPr>
          <w:i/>
          <w:iCs/>
          <w:sz w:val="28"/>
          <w:szCs w:val="28"/>
        </w:rPr>
      </w:pPr>
      <w:r>
        <w:rPr>
          <w:i/>
          <w:iCs/>
          <w:sz w:val="28"/>
          <w:szCs w:val="28"/>
          <w:lang w:val="vi-VN"/>
        </w:rPr>
        <w:t xml:space="preserve">Xét Tờ trình số </w:t>
      </w:r>
      <w:r>
        <w:rPr>
          <w:i/>
          <w:iCs/>
          <w:sz w:val="28"/>
          <w:szCs w:val="28"/>
        </w:rPr>
        <w:t xml:space="preserve">        </w:t>
      </w:r>
      <w:r>
        <w:rPr>
          <w:i/>
          <w:iCs/>
          <w:sz w:val="28"/>
          <w:szCs w:val="28"/>
          <w:lang w:val="vi-VN"/>
        </w:rPr>
        <w:t>/TTr-UBND ngày</w:t>
      </w:r>
      <w:r>
        <w:rPr>
          <w:i/>
          <w:iCs/>
          <w:sz w:val="28"/>
          <w:szCs w:val="28"/>
        </w:rPr>
        <w:t xml:space="preserve">     </w:t>
      </w:r>
      <w:r>
        <w:rPr>
          <w:i/>
          <w:iCs/>
          <w:sz w:val="28"/>
          <w:szCs w:val="28"/>
          <w:lang w:val="vi-VN"/>
        </w:rPr>
        <w:t>tháng</w:t>
      </w:r>
      <w:r>
        <w:rPr>
          <w:i/>
          <w:iCs/>
          <w:sz w:val="28"/>
          <w:szCs w:val="28"/>
        </w:rPr>
        <w:t xml:space="preserve">     </w:t>
      </w:r>
      <w:r>
        <w:rPr>
          <w:i/>
          <w:iCs/>
          <w:sz w:val="28"/>
          <w:szCs w:val="28"/>
          <w:lang w:val="vi-VN"/>
        </w:rPr>
        <w:t>năm 20</w:t>
      </w:r>
      <w:r>
        <w:rPr>
          <w:i/>
          <w:iCs/>
          <w:sz w:val="28"/>
          <w:szCs w:val="28"/>
        </w:rPr>
        <w:t>26</w:t>
      </w:r>
      <w:r>
        <w:rPr>
          <w:i/>
          <w:iCs/>
          <w:sz w:val="28"/>
          <w:szCs w:val="28"/>
          <w:lang w:val="vi-VN"/>
        </w:rPr>
        <w:t xml:space="preserve"> của </w:t>
      </w:r>
      <w:r>
        <w:rPr>
          <w:i/>
          <w:iCs/>
          <w:sz w:val="28"/>
          <w:szCs w:val="28"/>
        </w:rPr>
        <w:t>Ủy ban nhân dân</w:t>
      </w:r>
      <w:r>
        <w:rPr>
          <w:i/>
          <w:iCs/>
          <w:sz w:val="28"/>
          <w:szCs w:val="28"/>
          <w:lang w:val="vi-VN"/>
        </w:rPr>
        <w:t xml:space="preserve"> thành phố về </w:t>
      </w:r>
      <w:r>
        <w:rPr>
          <w:i/>
          <w:iCs/>
          <w:sz w:val="28"/>
          <w:szCs w:val="28"/>
        </w:rPr>
        <w:t xml:space="preserve">dự thảo </w:t>
      </w:r>
      <w:bookmarkStart w:id="1" w:name="_Hlk143849668"/>
      <w:r>
        <w:rPr>
          <w:i/>
          <w:iCs/>
          <w:sz w:val="28"/>
          <w:szCs w:val="28"/>
        </w:rPr>
        <w:t xml:space="preserve">Nghị quyết </w:t>
      </w:r>
      <w:bookmarkEnd w:id="1"/>
      <w:r>
        <w:rPr>
          <w:i/>
          <w:iCs/>
          <w:sz w:val="28"/>
          <w:szCs w:val="28"/>
        </w:rPr>
        <w:t xml:space="preserve">Quy định </w:t>
      </w:r>
      <w:r>
        <w:rPr>
          <w:i/>
          <w:iCs/>
          <w:sz w:val="28"/>
          <w:szCs w:val="28"/>
          <w:lang w:val="pt-BR"/>
        </w:rPr>
        <w:t xml:space="preserve">số lượng, chức danh, chế độ, chính sách đối với người hoạt động không chuyên trách thôn, tổ dân phố và người tham gia công tác tại thôn, tổ dân phố </w:t>
      </w:r>
      <w:r>
        <w:rPr>
          <w:i/>
          <w:iCs/>
          <w:sz w:val="28"/>
          <w:szCs w:val="28"/>
        </w:rPr>
        <w:t>trên địa bàn thành phố Đà Nẵng</w:t>
      </w:r>
      <w:r>
        <w:rPr>
          <w:i/>
          <w:iCs/>
          <w:sz w:val="28"/>
          <w:szCs w:val="28"/>
          <w:lang w:val="vi-VN"/>
        </w:rPr>
        <w:t xml:space="preserve">; Báo cáo thẩm tra </w:t>
      </w:r>
      <w:r>
        <w:rPr>
          <w:i/>
          <w:iCs/>
          <w:sz w:val="28"/>
          <w:szCs w:val="28"/>
        </w:rPr>
        <w:t xml:space="preserve">số          /BC-BPC ngày      tháng     năm 2026 </w:t>
      </w:r>
      <w:r>
        <w:rPr>
          <w:i/>
          <w:iCs/>
          <w:sz w:val="28"/>
          <w:szCs w:val="28"/>
          <w:lang w:val="vi-VN"/>
        </w:rPr>
        <w:t xml:space="preserve">của </w:t>
      </w:r>
      <w:r>
        <w:rPr>
          <w:i/>
          <w:iCs/>
          <w:sz w:val="28"/>
          <w:szCs w:val="28"/>
        </w:rPr>
        <w:t>Ban Pháp chế</w:t>
      </w:r>
      <w:r>
        <w:rPr>
          <w:i/>
          <w:iCs/>
          <w:sz w:val="28"/>
          <w:szCs w:val="28"/>
          <w:lang w:val="vi-VN"/>
        </w:rPr>
        <w:t xml:space="preserve"> Hội đồng nhân dân</w:t>
      </w:r>
      <w:r>
        <w:rPr>
          <w:i/>
          <w:iCs/>
          <w:sz w:val="28"/>
          <w:szCs w:val="28"/>
        </w:rPr>
        <w:t xml:space="preserve"> </w:t>
      </w:r>
      <w:r>
        <w:rPr>
          <w:i/>
          <w:iCs/>
          <w:sz w:val="28"/>
          <w:szCs w:val="28"/>
          <w:lang w:val="vi-VN"/>
        </w:rPr>
        <w:t xml:space="preserve">thành phố; ý kiến thảo luận của các đại biểu Hội đồng nhân dân thành phố tại </w:t>
      </w:r>
      <w:r>
        <w:rPr>
          <w:i/>
          <w:iCs/>
          <w:sz w:val="28"/>
          <w:szCs w:val="28"/>
        </w:rPr>
        <w:t>K</w:t>
      </w:r>
      <w:r>
        <w:rPr>
          <w:i/>
          <w:iCs/>
          <w:sz w:val="28"/>
          <w:szCs w:val="28"/>
          <w:lang w:val="vi-VN"/>
        </w:rPr>
        <w:t>ỳ họ</w:t>
      </w:r>
      <w:r>
        <w:rPr>
          <w:i/>
          <w:iCs/>
          <w:sz w:val="28"/>
          <w:szCs w:val="28"/>
        </w:rPr>
        <w:t>p;</w:t>
      </w:r>
    </w:p>
    <w:p>
      <w:pPr>
        <w:pStyle w:val="NormalWeb"/>
        <w:spacing w:beforeAutospacing="0" w:before="120" w:afterAutospacing="0" w:after="120"/>
        <w:ind w:firstLine="720"/>
        <w:jc w:val="both"/>
        <w:rPr>
          <w:b/>
          <w:bCs/>
          <w:sz w:val="28"/>
          <w:szCs w:val="28"/>
        </w:rPr>
      </w:pPr>
      <w:r>
        <w:rPr>
          <w:i/>
          <w:iCs/>
          <w:sz w:val="28"/>
          <w:szCs w:val="28"/>
        </w:rPr>
        <w:t xml:space="preserve">Hội đồng nhân dân thành phố ban hành Nghị quyết Quy định </w:t>
      </w:r>
      <w:r>
        <w:rPr>
          <w:i/>
          <w:iCs/>
          <w:sz w:val="28"/>
          <w:szCs w:val="28"/>
          <w:lang w:val="pt-BR"/>
        </w:rPr>
        <w:t xml:space="preserve">số lượng, chức danh, chế độ, chính sách đối với người hoạt động không chuyên trách thôn, tổ dân phố và người tham gia hoạt động ở thôn, tổ dân phố </w:t>
      </w:r>
      <w:r>
        <w:rPr>
          <w:i/>
          <w:iCs/>
          <w:sz w:val="28"/>
          <w:szCs w:val="28"/>
        </w:rPr>
        <w:t>trên địa bàn thành phố Đà Nẵng</w:t>
      </w:r>
      <w:r>
        <w:rPr>
          <w:sz w:val="28"/>
          <w:szCs w:val="28"/>
        </w:rPr>
        <w:t>.</w:t>
      </w:r>
    </w:p>
    <w:p>
      <w:pPr>
        <w:pStyle w:val="NormalWeb"/>
        <w:spacing w:beforeAutospacing="0" w:before="120" w:afterAutospacing="0" w:after="120"/>
        <w:ind w:firstLine="720"/>
        <w:jc w:val="both"/>
        <w:rPr>
          <w:b/>
          <w:bCs/>
          <w:sz w:val="28"/>
          <w:szCs w:val="28"/>
          <w:shd w:fill="FFFFFF" w:val="clear"/>
          <w:lang w:eastAsia="vi-VN"/>
          <w14:ligatures w14:val="none"/>
        </w:rPr>
      </w:pPr>
      <w:r>
        <w:rPr>
          <w:b/>
          <w:bCs/>
          <w:sz w:val="28"/>
          <w:szCs w:val="28"/>
        </w:rPr>
        <w:t>Điều 1. </w:t>
      </w:r>
      <w:r>
        <w:rPr>
          <w:bCs/>
          <w:sz w:val="28"/>
          <w:szCs w:val="28"/>
          <w:shd w:fill="FFFFFF" w:val="clear"/>
          <w:lang w:eastAsia="vi-VN"/>
          <w14:ligatures w14:val="none"/>
        </w:rPr>
        <w:t xml:space="preserve"> </w:t>
      </w:r>
      <w:r>
        <w:rPr>
          <w:b/>
          <w:bCs/>
          <w:sz w:val="28"/>
          <w:szCs w:val="28"/>
          <w:shd w:fill="FFFFFF" w:val="clear"/>
          <w:lang w:eastAsia="vi-VN"/>
          <w14:ligatures w14:val="none"/>
        </w:rPr>
        <w:t xml:space="preserve">Phạm vi điều chỉnh </w:t>
      </w:r>
    </w:p>
    <w:p>
      <w:pPr>
        <w:pStyle w:val="Normal"/>
        <w:spacing w:before="120" w:after="120"/>
        <w:ind w:firstLine="720"/>
        <w:jc w:val="both"/>
        <w:rPr>
          <w:b/>
          <w:bCs/>
        </w:rPr>
      </w:pPr>
      <w:bookmarkStart w:id="2" w:name="_Hlk228833999"/>
      <w:r>
        <w:rPr>
          <w:rFonts w:eastAsia="Calibri"/>
          <w:iCs/>
        </w:rPr>
        <w:t xml:space="preserve">Nghị quyết này quy định </w:t>
      </w:r>
      <w:r>
        <w:rPr>
          <w:rFonts w:eastAsia="Calibri"/>
          <w:iCs/>
          <w:lang w:val="en-US"/>
        </w:rPr>
        <w:t>số lượng</w:t>
      </w:r>
      <w:r>
        <w:rPr>
          <w:rFonts w:eastAsia="Calibri"/>
          <w:iCs/>
        </w:rPr>
        <w:t>,</w:t>
      </w:r>
      <w:r>
        <w:rPr>
          <w:rFonts w:eastAsia="Calibri"/>
          <w:iCs/>
          <w:lang w:val="en-US"/>
        </w:rPr>
        <w:t xml:space="preserve"> chức danh,</w:t>
      </w:r>
      <w:r>
        <w:rPr>
          <w:rFonts w:eastAsia="Calibri"/>
          <w:iCs/>
        </w:rPr>
        <w:t xml:space="preserve"> </w:t>
      </w:r>
      <w:bookmarkEnd w:id="2"/>
      <w:r>
        <w:rPr>
          <w:rFonts w:eastAsia="Calibri"/>
          <w:iCs/>
        </w:rPr>
        <w:t xml:space="preserve">mức phụ cấp đối với người hoạt động không chuyên trách ở </w:t>
      </w:r>
      <w:r>
        <w:rPr>
          <w:rFonts w:eastAsia="Calibri"/>
          <w:iCs/>
          <w:lang w:val="en-US"/>
        </w:rPr>
        <w:t>thôn, tổ dân phố</w:t>
      </w:r>
      <w:r>
        <w:rPr>
          <w:rFonts w:eastAsia="Calibri"/>
          <w:iCs/>
        </w:rPr>
        <w:t xml:space="preserve">; số lượng, </w:t>
      </w:r>
      <w:r>
        <w:rPr>
          <w:rFonts w:eastAsia="Calibri"/>
          <w:iCs/>
          <w:lang w:val="en-US"/>
        </w:rPr>
        <w:t xml:space="preserve">chức danh, </w:t>
      </w:r>
      <w:r>
        <w:rPr>
          <w:rFonts w:eastAsia="Calibri"/>
          <w:iCs/>
        </w:rPr>
        <w:t xml:space="preserve">mức hỗ trợ đối với người tham gia hoạt động ở </w:t>
      </w:r>
      <w:r>
        <w:rPr>
          <w:rFonts w:eastAsia="Calibri"/>
          <w:iCs/>
          <w:lang w:val="en-US"/>
        </w:rPr>
        <w:t>thôn, tổ dân phố</w:t>
      </w:r>
      <w:r>
        <w:rPr>
          <w:rFonts w:eastAsia="Calibri"/>
          <w:iCs/>
        </w:rPr>
        <w:t>; việc kiêm nhiệm và mức phụ cấp kiêm nhiệm</w:t>
      </w:r>
      <w:r>
        <w:rPr>
          <w:rFonts w:eastAsia="Calibri"/>
          <w:iCs/>
          <w:lang w:val="en-US"/>
        </w:rPr>
        <w:t xml:space="preserve"> và chế độ, chính sách khác</w:t>
      </w:r>
      <w:r>
        <w:rPr>
          <w:rFonts w:eastAsia="Calibri"/>
          <w:iCs/>
        </w:rPr>
        <w:t xml:space="preserve"> đối với người hoạt động không chuyên trách, người tham gia hoạt động ở </w:t>
      </w:r>
      <w:r>
        <w:rPr>
          <w:rFonts w:eastAsia="Calibri"/>
          <w:iCs/>
          <w:lang w:val="en-US"/>
        </w:rPr>
        <w:t>thôn, tổ dân phố t</w:t>
      </w:r>
      <w:r>
        <w:rPr/>
        <w:t>rên địa bàn thành phố Đà Nẵng.</w:t>
      </w:r>
    </w:p>
    <w:p>
      <w:pPr>
        <w:pStyle w:val="Normal"/>
        <w:spacing w:before="120" w:after="120"/>
        <w:ind w:firstLine="709"/>
        <w:jc w:val="both"/>
        <w:rPr>
          <w:b/>
          <w:bCs/>
          <w:lang w:val="pt-BR"/>
        </w:rPr>
      </w:pPr>
      <w:r>
        <w:rPr>
          <w:b/>
          <w:bCs/>
          <w:lang w:val="pt-BR"/>
        </w:rPr>
        <w:t>Điều 2. Đối tượng áp dụng</w:t>
      </w:r>
    </w:p>
    <w:p>
      <w:pPr>
        <w:pStyle w:val="Normal"/>
        <w:spacing w:before="120" w:after="120"/>
        <w:ind w:firstLine="720"/>
        <w:jc w:val="both"/>
        <w:rPr>
          <w:rFonts w:eastAsia="Calibri"/>
          <w:bCs/>
          <w:iCs/>
          <w:spacing w:val="-2"/>
        </w:rPr>
      </w:pPr>
      <w:r>
        <w:rPr>
          <w:rFonts w:eastAsia="Calibri"/>
          <w:bCs/>
          <w:iCs/>
          <w:spacing w:val="-2"/>
        </w:rPr>
        <w:t xml:space="preserve">1. Người hoạt động không chuyên trách ở </w:t>
      </w:r>
      <w:r>
        <w:rPr>
          <w:rFonts w:eastAsia="Calibri"/>
          <w:bCs/>
          <w:iCs/>
          <w:spacing w:val="-2"/>
          <w:lang w:val="en-US"/>
        </w:rPr>
        <w:t>thôn, tổ dân phố</w:t>
      </w:r>
      <w:r>
        <w:rPr>
          <w:rFonts w:eastAsia="Calibri"/>
          <w:bCs/>
          <w:iCs/>
          <w:spacing w:val="-2"/>
        </w:rPr>
        <w:t>;</w:t>
      </w:r>
    </w:p>
    <w:p>
      <w:pPr>
        <w:pStyle w:val="Normal"/>
        <w:spacing w:before="120" w:after="120"/>
        <w:ind w:firstLine="720"/>
        <w:jc w:val="both"/>
        <w:rPr>
          <w:rFonts w:eastAsia="Calibri"/>
          <w:bCs/>
          <w:iCs/>
          <w:spacing w:val="-2"/>
        </w:rPr>
      </w:pPr>
      <w:r>
        <w:rPr>
          <w:rFonts w:eastAsia="Calibri"/>
          <w:bCs/>
          <w:iCs/>
          <w:spacing w:val="-2"/>
        </w:rPr>
        <w:t xml:space="preserve">2. Người tham gia hoạt động ở </w:t>
      </w:r>
      <w:r>
        <w:rPr>
          <w:rFonts w:eastAsia="Calibri"/>
          <w:bCs/>
          <w:iCs/>
          <w:spacing w:val="-2"/>
          <w:lang w:val="en-US"/>
        </w:rPr>
        <w:t>thôn, tổ dân phố</w:t>
      </w:r>
      <w:r>
        <w:rPr>
          <w:rFonts w:eastAsia="Calibri"/>
          <w:bCs/>
          <w:iCs/>
          <w:spacing w:val="-2"/>
        </w:rPr>
        <w:t>;</w:t>
      </w:r>
    </w:p>
    <w:p>
      <w:pPr>
        <w:pStyle w:val="Normal"/>
        <w:spacing w:before="120" w:after="120"/>
        <w:ind w:firstLine="720"/>
        <w:jc w:val="both"/>
        <w:rPr>
          <w:rFonts w:eastAsia="Calibri"/>
          <w:bCs/>
          <w:iCs/>
          <w:spacing w:val="-2"/>
          <w:lang w:val="en-US"/>
        </w:rPr>
      </w:pPr>
      <w:r>
        <w:rPr>
          <w:rFonts w:eastAsia="Calibri"/>
          <w:bCs/>
          <w:iCs/>
          <w:spacing w:val="-2"/>
        </w:rPr>
        <w:t xml:space="preserve">3. </w:t>
      </w:r>
      <w:r>
        <w:rPr>
          <w:rFonts w:eastAsia="Calibri"/>
          <w:bCs/>
          <w:iCs/>
          <w:spacing w:val="-2"/>
          <w:lang w:val="en-US"/>
        </w:rPr>
        <w:t>Thôn, tổ dân phố</w:t>
      </w:r>
      <w:r>
        <w:rPr>
          <w:rFonts w:eastAsia="Calibri"/>
          <w:bCs/>
          <w:iCs/>
          <w:spacing w:val="-2"/>
        </w:rPr>
        <w:t xml:space="preserve"> trên địa bàn </w:t>
      </w:r>
      <w:r>
        <w:rPr>
          <w:rFonts w:eastAsia="Calibri"/>
          <w:bCs/>
          <w:iCs/>
          <w:spacing w:val="-2"/>
          <w:lang w:val="en-US"/>
        </w:rPr>
        <w:t>thành phố Đà Nẵng;</w:t>
      </w:r>
    </w:p>
    <w:p>
      <w:pPr>
        <w:pStyle w:val="Normal"/>
        <w:spacing w:before="120" w:after="120"/>
        <w:ind w:firstLine="720"/>
        <w:jc w:val="both"/>
        <w:rPr>
          <w:rFonts w:eastAsia="Calibri"/>
          <w:bCs/>
          <w:iCs/>
          <w:spacing w:val="-2"/>
        </w:rPr>
      </w:pPr>
      <w:r>
        <w:rPr>
          <w:rFonts w:eastAsia="Calibri"/>
          <w:bCs/>
          <w:iCs/>
          <w:spacing w:val="-2"/>
        </w:rPr>
        <w:t>4. Các cơ quan, tổ chức và cá nhân có liên quan đến việc thực hiện Nghị quyết này.</w:t>
      </w:r>
    </w:p>
    <w:p>
      <w:pPr>
        <w:pStyle w:val="Normal"/>
        <w:spacing w:before="120" w:after="120"/>
        <w:ind w:firstLine="709"/>
        <w:jc w:val="both"/>
        <w:rPr>
          <w:b/>
          <w:bCs/>
          <w:lang w:val="en-US"/>
        </w:rPr>
      </w:pPr>
      <w:r>
        <w:rPr>
          <w:b/>
          <w:bCs/>
          <w:lang w:val="en-US"/>
        </w:rPr>
        <w:t>Điều 3. Quy định về số lượng, chức danh, mức phụ cấp của người hoạt động không chuyên trách ở thôn, tổ dân phố</w:t>
      </w:r>
    </w:p>
    <w:p>
      <w:pPr>
        <w:pStyle w:val="Normal"/>
        <w:spacing w:before="120" w:after="120"/>
        <w:ind w:firstLine="720"/>
        <w:jc w:val="both"/>
        <w:rPr>
          <w:lang w:val="en-US"/>
        </w:rPr>
      </w:pPr>
      <w:r>
        <w:rPr>
          <w:bCs/>
          <w:spacing w:val="2"/>
          <w:lang w:val="en-US"/>
        </w:rPr>
        <w:t xml:space="preserve">1. Số lượng, chức danh người hoạt động không chuyên trách ở thôn, tổ dân phố thực hiện theo quy định tại khoản 1, khoản 2 Điều 14 Nghị định </w:t>
      </w:r>
      <w:r>
        <w:rPr/>
        <w:t>số 185/2026/NĐ-CP ngày 26</w:t>
      </w:r>
      <w:r>
        <w:rPr>
          <w:lang w:val="en-US"/>
        </w:rPr>
        <w:t>/</w:t>
      </w:r>
      <w:r>
        <w:rPr/>
        <w:t>5</w:t>
      </w:r>
      <w:r>
        <w:rPr>
          <w:lang w:val="en-US"/>
        </w:rPr>
        <w:t>/</w:t>
      </w:r>
      <w:r>
        <w:rPr/>
        <w:t>2026 của Chính phủ</w:t>
      </w:r>
      <w:r>
        <w:rPr>
          <w:lang w:val="en-US"/>
        </w:rPr>
        <w:t>.</w:t>
      </w:r>
    </w:p>
    <w:p>
      <w:pPr>
        <w:pStyle w:val="Normal"/>
        <w:spacing w:before="120" w:after="120"/>
        <w:ind w:firstLine="720"/>
        <w:jc w:val="both"/>
        <w:rPr>
          <w:spacing w:val="-4"/>
          <w:lang w:val="en-US"/>
        </w:rPr>
      </w:pPr>
      <w:r>
        <w:rPr>
          <w:lang w:val="en-US"/>
        </w:rPr>
        <w:t>2. Mức phụ cấp của người hoạt động không chuyên trách ở thôn, tổ dân phố được tính</w:t>
      </w:r>
      <w:r>
        <w:rPr>
          <w:spacing w:val="-4"/>
        </w:rPr>
        <w:t xml:space="preserve"> theo quy mô số hộ gia đình của thôn, tổ dân phố</w:t>
      </w:r>
      <w:r>
        <w:rPr>
          <w:spacing w:val="-4"/>
          <w:lang w:val="en-US"/>
        </w:rPr>
        <w:t xml:space="preserve"> theo Phụ lục I đính kèm</w:t>
      </w:r>
    </w:p>
    <w:p>
      <w:pPr>
        <w:pStyle w:val="Normal"/>
        <w:spacing w:before="120" w:after="120"/>
        <w:ind w:firstLine="709"/>
        <w:jc w:val="both"/>
        <w:rPr>
          <w:b/>
          <w:bCs/>
          <w:lang w:val="en-US"/>
        </w:rPr>
      </w:pPr>
      <w:r>
        <w:rPr>
          <w:b/>
          <w:bCs/>
          <w:lang w:val="en-US"/>
        </w:rPr>
        <w:t>Điều 4. Quy định về số lượng, chức danh, mức hỗ trợ của người tham gia hoạt động ở thôn, tổ dân phố</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iCs/>
          <w:lang w:val="nl-NL"/>
        </w:rPr>
      </w:pPr>
      <w:r>
        <w:rPr>
          <w:iCs/>
          <w:lang w:val="nl-NL"/>
        </w:rPr>
        <w:t>1. Chức danh người tham gia hoạt động ở thôn, tổ dân phố, gồm:</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iCs/>
          <w:lang w:val="nl-NL"/>
        </w:rPr>
      </w:pPr>
      <w:r>
        <w:rPr>
          <w:iCs/>
          <w:lang w:val="nl-NL"/>
        </w:rPr>
        <w:t xml:space="preserve">a) Phó bí thư chi bộ; </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iCs/>
          <w:lang w:val="nl-NL"/>
        </w:rPr>
      </w:pPr>
      <w:r>
        <w:rPr>
          <w:iCs/>
          <w:lang w:val="nl-NL"/>
        </w:rPr>
        <w:t xml:space="preserve">b) Phó trưởng thôn hoặc Tổ phó tổ dân phố; </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iCs/>
          <w:lang w:val="nl-NL"/>
        </w:rPr>
      </w:pPr>
      <w:r>
        <w:rPr>
          <w:iCs/>
          <w:lang w:val="nl-NL"/>
        </w:rPr>
        <w:t>c) Phó trưởng ban công tác Mặt trận;</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iCs/>
          <w:lang w:val="nl-NL"/>
        </w:rPr>
      </w:pPr>
      <w:r>
        <w:rPr>
          <w:iCs/>
          <w:lang w:val="nl-NL"/>
        </w:rPr>
        <w:t>d) Chi hội trưởng Hội Liên hiệp Phụ nữ;</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iCs/>
          <w:lang w:val="nl-NL"/>
        </w:rPr>
      </w:pPr>
      <w:r>
        <w:rPr>
          <w:iCs/>
          <w:lang w:val="nl-NL"/>
        </w:rPr>
        <w:t>đ) Chi hội trưởng Hội Nông dân;</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iCs/>
          <w:lang w:val="nl-NL"/>
        </w:rPr>
      </w:pPr>
      <w:r>
        <w:rPr>
          <w:iCs/>
          <w:lang w:val="nl-NL"/>
        </w:rPr>
        <w:t xml:space="preserve">e) Chi hội trưởng Hội Cựu chiến binh; </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iCs/>
          <w:lang w:val="nl-NL"/>
        </w:rPr>
      </w:pPr>
      <w:r>
        <w:rPr>
          <w:iCs/>
          <w:lang w:val="nl-NL"/>
        </w:rPr>
        <w:t>g) Bí thư Chi đoàn Thanh niên Cộng sản Hồ Chí Minh;</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iCs/>
          <w:lang w:val="nl-NL"/>
        </w:rPr>
      </w:pPr>
      <w:r>
        <w:rPr>
          <w:iCs/>
          <w:lang w:val="nl-NL"/>
        </w:rPr>
        <w:t>h) Chi hội trưởng Hội Người cao tuổi.</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iCs/>
          <w:lang w:val="nl-NL"/>
        </w:rPr>
      </w:pPr>
      <w:r>
        <w:rPr>
          <w:iCs/>
          <w:lang w:val="nl-NL"/>
        </w:rPr>
        <w:t>2. Số lượng người tham gia hoạt động ở thôn, tổ dân phố</w:t>
      </w:r>
    </w:p>
    <w:p>
      <w:pPr>
        <w:pStyle w:val="Normal"/>
        <w:pBdr>
          <w:top w:val="dotted" w:sz="4" w:space="0" w:color="FFFFFF"/>
          <w:left w:val="dotted" w:sz="4" w:space="0" w:color="FFFFFF"/>
          <w:bottom w:val="dotted" w:sz="4" w:space="7" w:color="FFFFFF"/>
          <w:right w:val="dotted" w:sz="4" w:space="0" w:color="FFFFFF"/>
        </w:pBdr>
        <w:shd w:val="clear" w:color="auto" w:fill="FFFFFF"/>
        <w:spacing w:before="60" w:after="60"/>
        <w:ind w:firstLine="720"/>
        <w:jc w:val="both"/>
        <w:rPr>
          <w:rFonts w:eastAsia="Arial"/>
          <w:iCs/>
          <w:lang w:eastAsia="vi-VN"/>
        </w:rPr>
      </w:pPr>
      <w:r>
        <w:rPr>
          <w:rFonts w:eastAsia="Arial"/>
          <w:iCs/>
          <w:lang w:eastAsia="vi-VN"/>
        </w:rPr>
        <w:t>Căn cứ yêu cầu</w:t>
      </w:r>
      <w:r>
        <w:rPr>
          <w:rFonts w:eastAsia="Arial"/>
          <w:lang w:eastAsia="vi-VN"/>
        </w:rPr>
        <w:t xml:space="preserve"> thực tiễn của từng thôn, tổ dân phố, quy mô hộ gia đình, yêu cầu tổ chức hoạt động tại từng địa bàn khu dân cư, số lượng hội viên, đoàn viên của các tổ chức chính trị - xã hội và hội người cao tuổi; mỗi thôn, tổ dân phố được </w:t>
      </w:r>
      <w:r>
        <w:rPr>
          <w:rFonts w:eastAsia="Arial"/>
          <w:iCs/>
          <w:lang w:eastAsia="vi-VN"/>
        </w:rPr>
        <w:t xml:space="preserve">bố trí không quá 08 người tham gia công việc ở thôn, tổ dân phố. Trường hợp thôn, tổ dân phố không đủ điều kiện thành lập các chi hội tổ chức chính trị - xã hội, chi hội người cao tuổi thì không bố trí các chức danh tương ứng. </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bCs/>
          <w:spacing w:val="2"/>
        </w:rPr>
      </w:pPr>
      <w:r>
        <w:rPr>
          <w:bCs/>
          <w:spacing w:val="2"/>
        </w:rPr>
        <w:t>3. Hỗ trợ hàng tháng</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rFonts w:eastAsia="Calibri"/>
          <w:bCs/>
          <w:iCs/>
          <w:lang w:val="en-US"/>
        </w:rPr>
      </w:pPr>
      <w:r>
        <w:rPr>
          <w:rFonts w:eastAsia="Calibri"/>
          <w:bCs/>
          <w:iCs/>
        </w:rPr>
        <w:t>Mức hỗ trợ hàng tháng đối với người tham gia hoạt động ở thôn, tổ dân phố được chi trả căn cứ quy mô hộ gia đình</w:t>
      </w:r>
      <w:r>
        <w:rPr>
          <w:rFonts w:eastAsia="Calibri"/>
          <w:bCs/>
          <w:iCs/>
          <w:lang w:val="en-US"/>
        </w:rPr>
        <w:t xml:space="preserve"> theo Phụ lục II đính kèm.</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b/>
          <w:bCs/>
        </w:rPr>
      </w:pPr>
      <w:r>
        <w:rPr>
          <w:b/>
          <w:bCs/>
        </w:rPr>
        <w:t>Điều 5. Phụ cấp kiêm nhiệm</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rFonts w:eastAsia="Arial"/>
          <w:bCs/>
          <w:spacing w:val="2"/>
          <w:lang w:eastAsia="vi-VN"/>
        </w:rPr>
      </w:pPr>
      <w:r>
        <w:rPr>
          <w:bCs/>
        </w:rPr>
        <w:t>1. Người hoạt động không chuyên trách ở thôn, tổ dân phố kiêm nhiệm người hoạt động không chuyên trách khác ở thôn, tổ dân phố</w:t>
      </w:r>
      <w:r>
        <w:rPr>
          <w:bCs/>
          <w:lang w:val="en-US"/>
        </w:rPr>
        <w:t xml:space="preserve"> </w:t>
      </w:r>
      <w:r>
        <w:rPr>
          <w:rFonts w:eastAsia="Arial"/>
          <w:bCs/>
          <w:spacing w:val="2"/>
          <w:lang w:eastAsia="vi-VN"/>
        </w:rPr>
        <w:t xml:space="preserve">mà giảm được 01 người (bố trí có mặt) </w:t>
      </w:r>
      <w:r>
        <w:rPr>
          <w:bCs/>
          <w:lang w:val="en-US"/>
        </w:rPr>
        <w:t xml:space="preserve">thì hưởng mức phụ cấp kiêm nhiệm </w:t>
      </w:r>
      <w:r>
        <w:rPr>
          <w:rFonts w:eastAsia="Arial"/>
          <w:bCs/>
          <w:spacing w:val="2"/>
          <w:lang w:eastAsia="vi-VN"/>
        </w:rPr>
        <w:t xml:space="preserve">bằng </w:t>
      </w:r>
      <w:r>
        <w:rPr>
          <w:rFonts w:eastAsia="Arial"/>
          <w:bCs/>
          <w:spacing w:val="2"/>
          <w:lang w:val="en-US" w:eastAsia="vi-VN"/>
        </w:rPr>
        <w:t>5</w:t>
      </w:r>
      <w:r>
        <w:rPr>
          <w:rFonts w:eastAsia="Arial"/>
          <w:bCs/>
          <w:spacing w:val="2"/>
          <w:lang w:eastAsia="vi-VN"/>
        </w:rPr>
        <w:t>0% mức phụ cấp hàng tháng của chức danh kiêm nhiệm.</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rFonts w:eastAsia="Arial"/>
          <w:bCs/>
          <w:spacing w:val="2"/>
          <w:lang w:eastAsia="vi-VN"/>
        </w:rPr>
      </w:pPr>
      <w:r>
        <w:rPr>
          <w:bCs/>
          <w:lang w:val="en-US"/>
        </w:rPr>
        <w:t>2. N</w:t>
      </w:r>
      <w:r>
        <w:rPr>
          <w:bCs/>
        </w:rPr>
        <w:t>gười hoạt động không chuyên trách ở thôn, tổ dân phố kiêm nhiệm người tham gia hoạt động ở thôn, tổ dân phố; người tham gia hoạt động ở thôn, tổ dân phố kiêm nhiệm người tham gia hoạt động khác ở thôn, tổ dân phố</w:t>
      </w:r>
      <w:r>
        <w:rPr>
          <w:bCs/>
          <w:lang w:val="en-US"/>
        </w:rPr>
        <w:t xml:space="preserve"> </w:t>
      </w:r>
      <w:r>
        <w:rPr>
          <w:rFonts w:eastAsia="Arial"/>
          <w:bCs/>
          <w:spacing w:val="2"/>
          <w:lang w:eastAsia="vi-VN"/>
        </w:rPr>
        <w:t>mà giảm được 01 người (bố trí có mặt) thì hưởng mức phụ cấp kiêm nhiệm bằng 100% mức phụ cấp hàng tháng của chức danh kiêm nhiệm.</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bCs/>
        </w:rPr>
      </w:pPr>
      <w:r>
        <w:rPr>
          <w:rFonts w:eastAsia="Arial"/>
          <w:bCs/>
          <w:spacing w:val="2"/>
          <w:lang w:eastAsia="vi-VN"/>
        </w:rPr>
        <w:t xml:space="preserve">3. </w:t>
      </w:r>
      <w:r>
        <w:rPr>
          <w:rStyle w:val="Strong"/>
          <w:b w:val="false"/>
          <w:spacing w:val="2"/>
        </w:rPr>
        <w:t>Trường hợp kiêm nhiệm nhiều chức danh cũng chỉ được hưởng một mức phụ cấp kiêm nhiệm cao nhất; mức phụ cấp kiêm nhiệm chức danh không dùng để tính đóng, hưởng chế độ bảo hiểm xã hội, bảo hiểm y tế.</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b/>
          <w:bCs/>
          <w:iCs/>
        </w:rPr>
      </w:pPr>
      <w:r>
        <w:rPr>
          <w:b/>
          <w:bCs/>
          <w:lang w:val="en-US"/>
        </w:rPr>
        <w:t xml:space="preserve">Điều </w:t>
      </w:r>
      <w:r>
        <w:rPr>
          <w:b/>
          <w:bCs/>
        </w:rPr>
        <w:t>6</w:t>
      </w:r>
      <w:r>
        <w:rPr>
          <w:b/>
          <w:bCs/>
          <w:lang w:val="en-US"/>
        </w:rPr>
        <w:t xml:space="preserve">. Quy định </w:t>
      </w:r>
      <w:r>
        <w:rPr>
          <w:b/>
          <w:bCs/>
          <w:iCs/>
          <w:lang w:val="nl-NL"/>
        </w:rPr>
        <w:t xml:space="preserve">về chế độ, chính sách nghỉ công tác ngay </w:t>
      </w:r>
      <w:r>
        <w:rPr>
          <w:b/>
          <w:bCs/>
          <w:iCs/>
        </w:rPr>
        <w:t>đối với</w:t>
      </w:r>
      <w:r>
        <w:rPr>
          <w:b/>
          <w:bCs/>
          <w:iCs/>
          <w:lang w:val="nl-NL"/>
        </w:rPr>
        <w:t xml:space="preserve"> người hoạt động không chuyên trách ở thôn, tổ dân phố và người tham gia hoạt động ở thôn, tổ dân phố</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bCs/>
          <w:iCs/>
          <w:spacing w:val="-4"/>
        </w:rPr>
      </w:pPr>
      <w:r>
        <w:rPr>
          <w:bCs/>
          <w:iCs/>
          <w:spacing w:val="-4"/>
          <w:lang w:val="en-US"/>
        </w:rPr>
        <w:t xml:space="preserve">1. </w:t>
      </w:r>
      <w:r>
        <w:rPr>
          <w:bCs/>
          <w:iCs/>
          <w:spacing w:val="-4"/>
        </w:rPr>
        <w:t xml:space="preserve">Chế độ, chính sách </w:t>
      </w:r>
      <w:r>
        <w:rPr>
          <w:bCs/>
          <w:iCs/>
          <w:spacing w:val="-4"/>
          <w:lang w:val="nl-NL"/>
        </w:rPr>
        <w:t xml:space="preserve">đối với người hoạt động không chuyên trách ở thôn, tổ dân phố không đảm bảo tiêu chuẩn, điều kiện để tiếp tục bố trí khi sắp xếp </w:t>
      </w:r>
      <w:r>
        <w:rPr>
          <w:bCs/>
          <w:iCs/>
          <w:spacing w:val="-4"/>
        </w:rPr>
        <w:t>thôn, tổ dân phố</w:t>
      </w:r>
      <w:r>
        <w:rPr>
          <w:bCs/>
          <w:iCs/>
          <w:spacing w:val="-4"/>
          <w:lang w:val="en-US"/>
        </w:rPr>
        <w:t>; sắp xếp chi bộ và ban công tác mặt trận</w:t>
      </w:r>
      <w:r>
        <w:rPr>
          <w:bCs/>
          <w:iCs/>
          <w:spacing w:val="-4"/>
          <w:lang w:val="nl-NL"/>
        </w:rPr>
        <w:t xml:space="preserve"> và có nguyện vọng nghỉ công tác</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bCs/>
          <w:iCs/>
          <w:lang w:val="nl-NL"/>
        </w:rPr>
      </w:pPr>
      <w:r>
        <w:rPr>
          <w:bCs/>
          <w:iCs/>
        </w:rPr>
        <w:t xml:space="preserve">a) </w:t>
      </w:r>
      <w:r>
        <w:rPr>
          <w:bCs/>
          <w:iCs/>
          <w:lang w:val="nl-NL"/>
        </w:rPr>
        <w:t xml:space="preserve">Người hoạt động không chuyên trách ở thôn, tổ dân phố công tác khoảng 01 nhiệm kỳ nghỉ công tác ngay được hỗ trợ một lần là 3.000.000 đồng (Ba triệu đồng). </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bCs/>
          <w:iCs/>
          <w:lang w:val="nl-NL"/>
        </w:rPr>
      </w:pPr>
      <w:r>
        <w:rPr>
          <w:bCs/>
          <w:iCs/>
        </w:rPr>
        <w:t xml:space="preserve">b) </w:t>
      </w:r>
      <w:r>
        <w:rPr>
          <w:bCs/>
          <w:iCs/>
          <w:lang w:val="nl-NL"/>
        </w:rPr>
        <w:t xml:space="preserve">Người hoạt động không chuyên trách ở thôn, tổ dân phố công tác khoảng 02 nhiệm kỳ nghỉ công tác ngay được hỗ trợ một lần là 5.000.000 đồng (Năm triệu đồng). </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bCs/>
          <w:iCs/>
          <w:lang w:val="nl-NL"/>
        </w:rPr>
      </w:pPr>
      <w:r>
        <w:rPr>
          <w:bCs/>
          <w:iCs/>
          <w:lang w:val="nl-NL"/>
        </w:rPr>
        <w:t xml:space="preserve">c) Người hoạt động không chuyên trách ở thôn, tổ dân phố công tác 03 nhiệm kỳ trở lên nghỉ công tác ngay được hỗ trợ một lần là 7.000.000 đồng (Bảy triệu đồng). </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rFonts w:eastAsia="Arial"/>
          <w:iCs/>
          <w:lang w:eastAsia="vi-VN"/>
        </w:rPr>
      </w:pPr>
      <w:r>
        <w:rPr>
          <w:bCs/>
          <w:iCs/>
          <w:lang w:val="en-US"/>
        </w:rPr>
        <w:t>2</w:t>
      </w:r>
      <w:r>
        <w:rPr>
          <w:bCs/>
          <w:iCs/>
        </w:rPr>
        <w:t xml:space="preserve">. Chế độ, chính sách </w:t>
      </w:r>
      <w:r>
        <w:rPr>
          <w:bCs/>
          <w:iCs/>
          <w:lang w:val="nl-NL"/>
        </w:rPr>
        <w:t xml:space="preserve">nghỉ công tác đối với người tham gia hoạt động ở thôn, tổ dân phố </w:t>
      </w:r>
      <w:r>
        <w:rPr>
          <w:bCs/>
          <w:iCs/>
        </w:rPr>
        <w:t xml:space="preserve">dôi dư </w:t>
      </w:r>
      <w:r>
        <w:rPr>
          <w:bCs/>
          <w:iCs/>
          <w:lang w:val="nl-NL"/>
        </w:rPr>
        <w:t xml:space="preserve">do sắp xếp </w:t>
      </w:r>
      <w:r>
        <w:rPr>
          <w:bCs/>
          <w:iCs/>
        </w:rPr>
        <w:t>thôn, tổ dân phố</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bCs/>
          <w:iCs/>
          <w:lang w:val="nl-NL"/>
        </w:rPr>
      </w:pPr>
      <w:r>
        <w:rPr>
          <w:bCs/>
          <w:iCs/>
        </w:rPr>
        <w:t xml:space="preserve">a) </w:t>
      </w:r>
      <w:r>
        <w:rPr>
          <w:bCs/>
          <w:iCs/>
          <w:lang w:val="nl-NL"/>
        </w:rPr>
        <w:t xml:space="preserve">Người tham gia hoạt động ở thôn, tổ dân phố công tác khoảng 01 nhiệm kỳ nghỉ công tác ngay do thực hiện sắp xếp thôn, tổ dân phố; chi bộ, ban công tác Mặt trận và các chi hội đoàn thể chính trị - xã hội được hỗ trợ một lần là 3.000.000 đồng (Ba triệu đồng). </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bCs/>
          <w:iCs/>
          <w:lang w:val="nl-NL"/>
        </w:rPr>
      </w:pPr>
      <w:r>
        <w:rPr>
          <w:bCs/>
          <w:iCs/>
        </w:rPr>
        <w:t xml:space="preserve">b) </w:t>
      </w:r>
      <w:r>
        <w:rPr>
          <w:bCs/>
          <w:iCs/>
          <w:lang w:val="nl-NL"/>
        </w:rPr>
        <w:t xml:space="preserve">Người tham gia hoạt động ở thôn, tổ dân phố công tác khoảng 02 nhiệm kỳ nghỉ công tác ngay do thực hiện sắp xếp thôn, tổ dân phố; chi bộ, ban công tác Mặt trận và các chi hội đoàn thể chính trị - xã hội được hỗ trợ một lần là 5.000.000 đồng (Năm triệu đồng). </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bCs/>
          <w:iCs/>
          <w:lang w:val="nl-NL"/>
        </w:rPr>
      </w:pPr>
      <w:r>
        <w:rPr>
          <w:bCs/>
          <w:iCs/>
          <w:lang w:val="nl-NL"/>
        </w:rPr>
        <w:t xml:space="preserve">c) Người tham gia hoạt động ở thôn, tổ dân phố công tác đủ 03 nhiệm kỳ trở lên nghỉ công tác ngay do thực hiện sắp xếp thôn, tổ dân phố; chi bộ, ban công tác Mặt trận và các chi hội đoàn thể chính trị - xã hội được hỗ trợ một lần là 7.000.000 đồng (Bảy triệu đồng). </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b/>
          <w:bCs/>
          <w:iCs/>
        </w:rPr>
      </w:pPr>
      <w:r>
        <w:rPr>
          <w:b/>
          <w:bCs/>
          <w:lang w:val="en-US"/>
        </w:rPr>
        <w:t>Điều 7</w:t>
      </w:r>
      <w:r>
        <w:rPr>
          <w:b/>
          <w:bCs/>
          <w:lang w:val="nl-NL"/>
        </w:rPr>
        <w:t xml:space="preserve">. </w:t>
      </w:r>
      <w:r>
        <w:rPr>
          <w:b/>
          <w:bCs/>
        </w:rPr>
        <w:t>C</w:t>
      </w:r>
      <w:r>
        <w:rPr>
          <w:b/>
          <w:bCs/>
          <w:lang w:val="nl-NL"/>
        </w:rPr>
        <w:t>hế độ bảo hiểm y tế</w:t>
      </w:r>
      <w:r>
        <w:rPr>
          <w:b/>
          <w:bCs/>
          <w:iCs/>
          <w:lang w:val="nl-NL"/>
        </w:rPr>
        <w:t xml:space="preserve"> đối với người tham gia hoạt động ở thôn, tổ dân phố</w:t>
      </w:r>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b/>
          <w:lang w:val="en-US"/>
        </w:rPr>
      </w:pPr>
      <w:r>
        <w:rPr>
          <w:color w:val="000000"/>
        </w:rPr>
        <w:t>Ngân sách thành phố</w:t>
      </w:r>
      <w:r>
        <w:rPr>
          <w:color w:val="000000"/>
          <w:shd w:fill="FFFFFF" w:val="clear"/>
        </w:rPr>
        <w:t xml:space="preserve"> hỗ trợ 100% mức đóng bảo hiểm y tế cho </w:t>
      </w:r>
      <w:r>
        <w:rPr>
          <w:color w:val="000000"/>
        </w:rPr>
        <w:t>người tham gia hoạt động ở thôn, tổ dân phố</w:t>
      </w:r>
      <w:r>
        <w:rPr>
          <w:color w:val="000000"/>
          <w:shd w:fill="FFFFFF" w:val="clear"/>
        </w:rPr>
        <w:t xml:space="preserve"> trên địa bàn thành phố Đà Nẵng trong thời gian thực hiện nhiệm vụ, công tác (trừ những người đang được hưởng chế độ bảo hiểm y tế theo quy định) với mức đóng theo quy định hiện hành.</w:t>
      </w:r>
      <w:r>
        <w:rPr>
          <w:b/>
          <w:lang w:val="en-US"/>
        </w:rPr>
        <w:t xml:space="preserve"> </w:t>
      </w:r>
    </w:p>
    <w:p>
      <w:pPr>
        <w:pStyle w:val="Normal"/>
        <w:shd w:val="clear" w:color="auto" w:fill="FFFFFF"/>
        <w:spacing w:before="120" w:after="120"/>
        <w:ind w:firstLine="720"/>
        <w:jc w:val="both"/>
        <w:rPr>
          <w:rFonts w:eastAsia="Calibri"/>
          <w:b/>
          <w:bCs/>
          <w:iCs/>
          <w14:ligatures w14:val="none"/>
        </w:rPr>
      </w:pPr>
      <w:r>
        <w:rPr>
          <w:rFonts w:eastAsia="Calibri"/>
          <w:b/>
          <w:bCs/>
          <w:iCs/>
          <w14:ligatures w14:val="none"/>
        </w:rPr>
        <w:t xml:space="preserve">Điều </w:t>
      </w:r>
      <w:r>
        <w:rPr>
          <w:rFonts w:eastAsia="Calibri"/>
          <w:b/>
          <w:bCs/>
          <w:iCs/>
          <w:lang w:val="en-US"/>
          <w14:ligatures w14:val="none"/>
        </w:rPr>
        <w:t>8</w:t>
      </w:r>
      <w:r>
        <w:rPr>
          <w:rFonts w:eastAsia="Calibri"/>
          <w:b/>
          <w:bCs/>
          <w:iCs/>
          <w14:ligatures w14:val="none"/>
        </w:rPr>
        <w:t>. Nguồn kinh phí thực hiện</w:t>
      </w:r>
    </w:p>
    <w:p>
      <w:pPr>
        <w:pStyle w:val="Normal"/>
        <w:shd w:val="clear" w:color="auto" w:fill="FFFFFF"/>
        <w:spacing w:before="120" w:after="120"/>
        <w:ind w:firstLine="720"/>
        <w:jc w:val="both"/>
        <w:textAlignment w:val="baseline"/>
        <w:rPr>
          <w:rFonts w:eastAsia="Calibri"/>
          <w:iCs/>
          <w:spacing w:val="3"/>
          <w:shd w:fill="FFFFFF" w:val="clear"/>
          <w14:ligatures w14:val="none"/>
        </w:rPr>
      </w:pPr>
      <w:bookmarkStart w:id="3" w:name="_Hlk203842468"/>
      <w:r>
        <w:rPr>
          <w:spacing w:val="2"/>
          <w14:ligatures w14:val="none"/>
        </w:rPr>
        <w:t>Ngân sách nhà nước bố trí dự toán kinh phí để tổ chức thực hiện Nghị quyết theo phân cấp ngân sách nhà nước và các quy định hiện hành</w:t>
      </w:r>
      <w:r>
        <w:rPr>
          <w:rFonts w:eastAsia="Calibri"/>
          <w:iCs/>
          <w:spacing w:val="3"/>
          <w:shd w:fill="FFFFFF" w:val="clear"/>
          <w14:ligatures w14:val="none"/>
        </w:rPr>
        <w:t xml:space="preserve">. </w:t>
      </w:r>
      <w:bookmarkEnd w:id="3"/>
    </w:p>
    <w:p>
      <w:pPr>
        <w:pStyle w:val="Normal"/>
        <w:pBdr>
          <w:top w:val="dotted" w:sz="4" w:space="0" w:color="FFFFFF"/>
          <w:left w:val="dotted" w:sz="4" w:space="0" w:color="FFFFFF"/>
          <w:bottom w:val="dotted" w:sz="4" w:space="7" w:color="FFFFFF"/>
          <w:right w:val="dotted" w:sz="4" w:space="0" w:color="FFFFFF"/>
        </w:pBdr>
        <w:shd w:val="clear" w:color="auto" w:fill="FFFFFF"/>
        <w:spacing w:before="120" w:after="120"/>
        <w:ind w:firstLine="720"/>
        <w:jc w:val="both"/>
        <w:rPr>
          <w:rFonts w:eastAsia="Arial"/>
          <w:b/>
          <w:bCs/>
          <w:spacing w:val="-4"/>
          <w:lang w:val="en-US" w:eastAsia="vi-VN"/>
        </w:rPr>
      </w:pPr>
      <w:r>
        <w:rPr>
          <w:b/>
          <w:lang w:val="en-US"/>
        </w:rPr>
        <w:t>Điều 9</w:t>
      </w:r>
      <w:r>
        <w:rPr>
          <w:b/>
        </w:rPr>
        <w:t>.</w:t>
      </w:r>
      <w:r>
        <w:rPr>
          <w:b/>
          <w:lang w:val="en-US"/>
        </w:rPr>
        <w:t xml:space="preserve"> </w:t>
      </w:r>
      <w:r>
        <w:rPr>
          <w:b/>
          <w:bCs/>
          <w:lang w:val="af-ZA"/>
        </w:rPr>
        <w:t>Điều khoản thi hành</w:t>
      </w:r>
    </w:p>
    <w:p>
      <w:pPr>
        <w:pStyle w:val="NormalWeb"/>
        <w:spacing w:beforeAutospacing="0" w:before="120" w:afterAutospacing="0" w:after="120"/>
        <w:ind w:firstLine="720"/>
        <w:rPr>
          <w:bCs/>
          <w:sz w:val="28"/>
          <w:szCs w:val="28"/>
        </w:rPr>
      </w:pPr>
      <w:r>
        <w:rPr>
          <w:bCs/>
          <w:sz w:val="28"/>
          <w:szCs w:val="28"/>
          <w:lang w:val="af-ZA"/>
        </w:rPr>
        <w:t xml:space="preserve">1. Nghị quyết này có hiệu lực thi hành từ ngày     tháng </w:t>
      </w:r>
      <w:r>
        <w:rPr>
          <w:bCs/>
          <w:sz w:val="28"/>
          <w:szCs w:val="28"/>
        </w:rPr>
        <w:t xml:space="preserve">    </w:t>
      </w:r>
      <w:r>
        <w:rPr>
          <w:bCs/>
          <w:sz w:val="28"/>
          <w:szCs w:val="28"/>
          <w:lang w:val="af-ZA"/>
        </w:rPr>
        <w:t xml:space="preserve"> năm </w:t>
      </w:r>
      <w:r>
        <w:rPr>
          <w:bCs/>
          <w:sz w:val="28"/>
          <w:szCs w:val="28"/>
          <w:lang w:val="vi-VN"/>
        </w:rPr>
        <w:t>202</w:t>
      </w:r>
      <w:r>
        <w:rPr>
          <w:bCs/>
          <w:sz w:val="28"/>
          <w:szCs w:val="28"/>
        </w:rPr>
        <w:t>6</w:t>
      </w:r>
      <w:r>
        <w:rPr>
          <w:bCs/>
          <w:sz w:val="28"/>
          <w:szCs w:val="28"/>
          <w:lang w:val="vi-VN"/>
        </w:rPr>
        <w:t>.</w:t>
      </w:r>
    </w:p>
    <w:p>
      <w:pPr>
        <w:pStyle w:val="NormalWeb"/>
        <w:spacing w:beforeAutospacing="0" w:before="120" w:afterAutospacing="0" w:after="120"/>
        <w:ind w:firstLine="720"/>
        <w:jc w:val="both"/>
        <w:rPr>
          <w:bCs/>
          <w:spacing w:val="-2"/>
          <w:sz w:val="28"/>
          <w:szCs w:val="28"/>
        </w:rPr>
      </w:pPr>
      <w:r>
        <w:rPr>
          <w:bCs/>
          <w:spacing w:val="-2"/>
          <w:sz w:val="28"/>
          <w:szCs w:val="28"/>
        </w:rPr>
        <w:t>2. Nghị quyết này thay thế</w:t>
      </w:r>
      <w:r>
        <w:rPr>
          <w:bCs/>
          <w:spacing w:val="-2"/>
          <w:sz w:val="28"/>
          <w:szCs w:val="28"/>
          <w:lang w:val="vi-VN"/>
        </w:rPr>
        <w:t xml:space="preserve"> </w:t>
      </w:r>
      <w:r>
        <w:rPr>
          <w:bCs/>
          <w:spacing w:val="-2"/>
          <w:sz w:val="28"/>
          <w:szCs w:val="28"/>
        </w:rPr>
        <w:t xml:space="preserve">Nghị quyết </w:t>
      </w:r>
      <w:r>
        <w:rPr>
          <w:bCs/>
          <w:spacing w:val="-2"/>
          <w:sz w:val="28"/>
          <w:szCs w:val="28"/>
          <w:lang w:val="nl-NL"/>
        </w:rPr>
        <w:t>Nghị quyết số 97/2023/NQ-HĐND ngày 14 tháng 12 năm 2023 của HĐND thành phố Đà Nẵng (cũ) quy định về số lượng, chức danh, chế độ, chính sách đối với người hoạt động không chuyên trách, người trực tiếp tham gia hoạt động của thôn, tổ dân phố trên địa bàn thành phố Đà Nẵng; Nghị quyết số 12/2023/NQ-HĐND ngày 22 tháng 9 năm 2023 của HĐND tỉnh Quảng Nam quy định chức danh, mức phụ cấp, mức phụ cấp kiêm nhiệm đối với người hoạt động không chuyên trách cấp xã, ở thôn, tổ dân phố, Công an viên thôn/tổ (khối) đội trưởng; chức danh, mức hỗ trợ, mức hỗ trợ kiêm nhiệm đối với người trực tiếp tham gia hoạt động ở thôn, tổ dân phố trên địa bàn tỉnh Quảng Nam;</w:t>
      </w:r>
    </w:p>
    <w:p>
      <w:pPr>
        <w:pStyle w:val="Normal"/>
        <w:widowControl w:val="false"/>
        <w:shd w:val="clear" w:color="auto" w:fill="FFFFFF"/>
        <w:spacing w:before="120" w:after="120"/>
        <w:ind w:firstLine="720"/>
        <w:jc w:val="both"/>
        <w:rPr/>
      </w:pPr>
      <w:r>
        <w:rPr>
          <w:lang w:val="en-US"/>
        </w:rPr>
        <w:t xml:space="preserve">3. </w:t>
      </w:r>
      <w:r>
        <w:rPr/>
        <w:t xml:space="preserve">Trường hợp các quy định </w:t>
      </w:r>
      <w:r>
        <w:rPr>
          <w:lang w:val="en-US"/>
        </w:rPr>
        <w:t>được</w:t>
      </w:r>
      <w:r>
        <w:rPr/>
        <w:t xml:space="preserve"> dẫn chiếu tại Nghị quyết này được sửa đổi, bổ sung hoặc thay thế thì thực hiện theo các quy định mới sửa đổi, bổ sung hoặc thay thế tương ứng.</w:t>
      </w:r>
    </w:p>
    <w:p>
      <w:pPr>
        <w:pStyle w:val="Normal"/>
        <w:widowControl w:val="false"/>
        <w:shd w:val="clear" w:color="auto" w:fill="FFFFFF"/>
        <w:spacing w:before="120" w:after="120"/>
        <w:ind w:firstLine="720"/>
        <w:jc w:val="both"/>
        <w:rPr>
          <w:b/>
          <w:bCs/>
          <w14:ligatures w14:val="none"/>
        </w:rPr>
      </w:pPr>
      <w:r>
        <w:rPr>
          <w:b/>
          <w:bCs/>
          <w14:ligatures w14:val="none"/>
        </w:rPr>
        <w:t xml:space="preserve">Điều </w:t>
      </w:r>
      <w:r>
        <w:rPr>
          <w:b/>
          <w:bCs/>
          <w:lang w:val="en-US"/>
          <w14:ligatures w14:val="none"/>
        </w:rPr>
        <w:t>10</w:t>
      </w:r>
      <w:r>
        <w:rPr>
          <w:b/>
          <w:bCs/>
          <w14:ligatures w14:val="none"/>
        </w:rPr>
        <w:t>. Tổ chức thực hiện</w:t>
      </w:r>
    </w:p>
    <w:p>
      <w:pPr>
        <w:pStyle w:val="Normal"/>
        <w:widowControl w:val="false"/>
        <w:pBdr>
          <w:top w:val="dotted" w:sz="4" w:space="0" w:color="FFFFFF"/>
          <w:left w:val="dotted" w:sz="4" w:space="0" w:color="FFFFFF"/>
          <w:bottom w:val="dotted" w:sz="4" w:space="16" w:color="FFFFFF"/>
          <w:right w:val="dotted" w:sz="4" w:space="0" w:color="FFFFFF"/>
        </w:pBdr>
        <w:shd w:val="clear" w:color="auto" w:fill="FFFFFF"/>
        <w:spacing w:before="120" w:after="120"/>
        <w:ind w:firstLine="720"/>
        <w:jc w:val="both"/>
        <w:rPr>
          <w:spacing w:val="-2"/>
          <w:lang w:val="en-US"/>
          <w14:ligatures w14:val="none"/>
        </w:rPr>
      </w:pPr>
      <w:r>
        <w:rPr>
          <w:spacing w:val="-2"/>
          <w14:ligatures w14:val="none"/>
        </w:rPr>
        <w:t xml:space="preserve">1. Ủy ban nhân dân thành phố </w:t>
      </w:r>
      <w:r>
        <w:rPr>
          <w:spacing w:val="-2"/>
          <w:lang w:val="en-US"/>
          <w14:ligatures w14:val="none"/>
        </w:rPr>
        <w:t xml:space="preserve">căn cứ nội dung Nghị quyết tổ chức quán triệt, tuyên truyền và </w:t>
      </w:r>
      <w:r>
        <w:rPr>
          <w:spacing w:val="-2"/>
          <w14:ligatures w14:val="none"/>
        </w:rPr>
        <w:t>có trách nhiệm tổ chức triển khai thực hiện Nghị quyết này theo đúng quy định của pháp luật</w:t>
      </w:r>
      <w:r>
        <w:rPr>
          <w:spacing w:val="-2"/>
          <w:lang w:val="en-US"/>
          <w14:ligatures w14:val="none"/>
        </w:rPr>
        <w:t>.</w:t>
      </w:r>
    </w:p>
    <w:p>
      <w:pPr>
        <w:pStyle w:val="Normal"/>
        <w:widowControl w:val="false"/>
        <w:pBdr>
          <w:top w:val="dotted" w:sz="4" w:space="0" w:color="FFFFFF"/>
          <w:left w:val="dotted" w:sz="4" w:space="0" w:color="FFFFFF"/>
          <w:bottom w:val="dotted" w:sz="4" w:space="16" w:color="FFFFFF"/>
          <w:right w:val="dotted" w:sz="4" w:space="0" w:color="FFFFFF"/>
        </w:pBdr>
        <w:shd w:val="clear" w:color="auto" w:fill="FFFFFF"/>
        <w:spacing w:before="120" w:after="120"/>
        <w:ind w:firstLine="720"/>
        <w:jc w:val="both"/>
        <w:rPr>
          <w:spacing w:val="-2"/>
          <w:lang w:val="en-US"/>
          <w14:ligatures w14:val="none"/>
        </w:rPr>
      </w:pPr>
      <w:r>
        <w:rPr>
          <w:spacing w:val="-2"/>
          <w:lang w:val="en-US"/>
          <w14:ligatures w14:val="none"/>
        </w:rPr>
        <w:t>2. Ủy ban nhân dân cấp xã báo cáo Ban Thường vụ Đảng ủy cấp xã căn cứ yêu cầu quản lý địa bàn, tổ chức hoạt động của cộng đồng dân cư, tính ổn định và gắn kết cộng đồng dân cư, căn cứ số lượng hội viên của các chi hội chính trị - xã hội, chi hội người cao tuổi của từng thôn, tổ dân phố để quyết định việc tổ chức các chi hội, bố trí số lượng, chức danh, bố trí kiêm nhiệm người tham gia hoạt động tại thôn, tổ dân phố phù hợp đảm bảo không vượt quá số lượng, chức danh do HĐND thành phố quy định và đảm bảo nâng cao hiệu quả quản lý, phục vụ Nhân dân của chính quyền cơ sở. Trên cơ sở đó, trưởng thôn, tổ trưởng tổ dân phố lựa chọn người tham gia hoạt động ở thôn, tổ dân phố sau khi thống nhất với bí thư chi bộ, trưởng ban công tác Mặt trận ở thôn, tổ dân phố. Ủy ban nhân dân cấp xã quyết định công nhận và cho thôi làm người tham gia hoạt động ở thôn, tổ dân phố theo quy định Theo quy định tại điểm c khoản 3 Điều 6 Nghị định số 185/2026/NĐ-CP.</w:t>
      </w:r>
    </w:p>
    <w:p>
      <w:pPr>
        <w:pStyle w:val="Normal"/>
        <w:widowControl w:val="false"/>
        <w:pBdr>
          <w:top w:val="dotted" w:sz="4" w:space="0" w:color="FFFFFF"/>
          <w:left w:val="dotted" w:sz="4" w:space="0" w:color="FFFFFF"/>
          <w:bottom w:val="dotted" w:sz="4" w:space="16" w:color="FFFFFF"/>
          <w:right w:val="dotted" w:sz="4" w:space="0" w:color="FFFFFF"/>
        </w:pBdr>
        <w:shd w:val="clear" w:color="auto" w:fill="FFFFFF"/>
        <w:spacing w:before="120" w:after="120"/>
        <w:ind w:firstLine="720"/>
        <w:jc w:val="both"/>
        <w:rPr>
          <w:lang w:val="en-US"/>
        </w:rPr>
      </w:pPr>
      <w:r>
        <w:rPr>
          <w:lang w:val="en-US"/>
          <w14:ligatures w14:val="none"/>
        </w:rPr>
        <w:t>3</w:t>
      </w:r>
      <w:r>
        <w:rPr>
          <w14:ligatures w14:val="none"/>
        </w:rPr>
        <w:t xml:space="preserve">. Thường trực Hội đồng nhân dân, các </w:t>
      </w:r>
      <w:r>
        <w:rPr>
          <w:lang w:val="en-US"/>
          <w14:ligatures w14:val="none"/>
        </w:rPr>
        <w:t>B</w:t>
      </w:r>
      <w:r>
        <w:rPr>
          <w14:ligatures w14:val="none"/>
        </w:rPr>
        <w:t>an</w:t>
      </w:r>
      <w:r>
        <w:rPr>
          <w:lang w:val="en-US"/>
          <w14:ligatures w14:val="none"/>
        </w:rPr>
        <w:t xml:space="preserve">, các </w:t>
      </w:r>
      <w:r>
        <w:rPr>
          <w14:ligatures w14:val="none"/>
        </w:rPr>
        <w:t>Tổ đại biểu và đại biểu Hội đồng nhân dân thành phố giám sát việc thực hiện Nghị quyết này.</w:t>
      </w:r>
    </w:p>
    <w:p>
      <w:pPr>
        <w:pStyle w:val="Normal"/>
        <w:widowControl w:val="false"/>
        <w:pBdr>
          <w:top w:val="dotted" w:sz="4" w:space="0" w:color="FFFFFF"/>
          <w:left w:val="dotted" w:sz="4" w:space="0" w:color="FFFFFF"/>
          <w:bottom w:val="dotted" w:sz="4" w:space="16" w:color="FFFFFF"/>
          <w:right w:val="dotted" w:sz="4" w:space="0" w:color="FFFFFF"/>
        </w:pBdr>
        <w:shd w:val="clear" w:color="auto" w:fill="FFFFFF"/>
        <w:spacing w:before="120" w:after="120"/>
        <w:ind w:firstLine="720"/>
        <w:jc w:val="both"/>
        <w:rPr>
          <w:i/>
          <w:iCs/>
          <w:lang w:val="en-US"/>
          <w14:ligatures w14:val="none"/>
        </w:rPr>
      </w:pPr>
      <w:r>
        <w:rPr>
          <w:i/>
          <w:iCs/>
          <w14:ligatures w14:val="none"/>
        </w:rPr>
        <w:t>Nghị quyết này đã được Hội đồng nhân dân thành phố Đà N</w:t>
      </w:r>
      <w:r>
        <w:rPr>
          <w:i/>
          <w:iCs/>
          <w:lang w:val="en-US"/>
          <w14:ligatures w14:val="none"/>
        </w:rPr>
        <w:t>ẵ</w:t>
      </w:r>
      <w:r>
        <w:rPr>
          <w:i/>
          <w:iCs/>
          <w14:ligatures w14:val="none"/>
        </w:rPr>
        <w:t xml:space="preserve">ng khóa </w:t>
      </w:r>
      <w:r>
        <w:rPr>
          <w:i/>
          <w:iCs/>
          <w:lang w:val="en-US"/>
          <w14:ligatures w14:val="none"/>
        </w:rPr>
        <w:t>..., nhiệm kỳ 2026 - 2031,</w:t>
      </w:r>
      <w:r>
        <w:rPr>
          <w:i/>
          <w:iCs/>
          <w14:ligatures w14:val="none"/>
        </w:rPr>
        <w:t xml:space="preserve"> Kỳ họp thứ </w:t>
      </w:r>
      <w:r>
        <w:rPr>
          <w:i/>
          <w:iCs/>
          <w:lang w:val="en-US"/>
          <w14:ligatures w14:val="none"/>
        </w:rPr>
        <w:t xml:space="preserve">... </w:t>
      </w:r>
      <w:r>
        <w:rPr>
          <w:i/>
          <w:iCs/>
          <w14:ligatures w14:val="none"/>
        </w:rPr>
        <w:t>thông qua ngày</w:t>
      </w:r>
      <w:r>
        <w:rPr>
          <w:i/>
          <w:iCs/>
          <w:lang w:val="en-US"/>
          <w14:ligatures w14:val="none"/>
        </w:rPr>
        <w:t xml:space="preserve"> ... </w:t>
      </w:r>
      <w:r>
        <w:rPr>
          <w:i/>
          <w:iCs/>
          <w14:ligatures w14:val="none"/>
        </w:rPr>
        <w:t>tháng</w:t>
      </w:r>
      <w:r>
        <w:rPr>
          <w:i/>
          <w:iCs/>
          <w:lang w:val="en-US"/>
          <w14:ligatures w14:val="none"/>
        </w:rPr>
        <w:t xml:space="preserve"> ... n</w:t>
      </w:r>
      <w:r>
        <w:rPr>
          <w:i/>
          <w:iCs/>
          <w14:ligatures w14:val="none"/>
        </w:rPr>
        <w:t>ăm 20</w:t>
      </w:r>
      <w:r>
        <w:rPr>
          <w:i/>
          <w:iCs/>
          <w:lang w:val="en-US"/>
          <w14:ligatures w14:val="none"/>
        </w:rPr>
        <w:t>26</w:t>
      </w:r>
      <w:r>
        <w:rPr>
          <w:i/>
          <w:iCs/>
          <w14:ligatures w14:val="none"/>
        </w:rPr>
        <w:t>./.</w:t>
      </w:r>
    </w:p>
    <w:tbl>
      <w:tblPr>
        <w:tblStyle w:val="TableGrid"/>
        <w:tblW w:w="9062"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5245"/>
        <w:gridCol w:w="3817"/>
      </w:tblGrid>
      <w:tr>
        <w:trPr/>
        <w:tc>
          <w:tcPr>
            <w:tcW w:w="5245" w:type="dxa"/>
            <w:tcBorders>
              <w:top w:val="nil"/>
              <w:left w:val="nil"/>
              <w:bottom w:val="nil"/>
              <w:right w:val="nil"/>
            </w:tcBorders>
          </w:tcPr>
          <w:p>
            <w:pPr>
              <w:pStyle w:val="Normal"/>
              <w:widowControl/>
              <w:spacing w:before="0" w:after="0"/>
              <w:ind w:hanging="7" w:left="-105"/>
              <w:jc w:val="left"/>
              <w:rPr>
                <w:sz w:val="24"/>
                <w:szCs w:val="24"/>
                <w14:ligatures w14:val="none"/>
              </w:rPr>
            </w:pPr>
            <w:r>
              <w:rPr>
                <w:b/>
                <w:bCs/>
                <w:i/>
                <w:iCs/>
                <w:lang w:eastAsia="en-US" w:bidi="ar-SA"/>
                <w14:ligatures w14:val="none"/>
              </w:rPr>
              <w:t>Nơi nhận:</w:t>
              <w:br/>
            </w:r>
            <w:r>
              <w:rPr>
                <w:lang w:eastAsia="en-US" w:bidi="ar-SA"/>
                <w14:ligatures w14:val="none"/>
              </w:rPr>
              <w:t xml:space="preserve">- </w:t>
            </w:r>
            <w:r>
              <w:rPr>
                <w:sz w:val="24"/>
                <w:szCs w:val="24"/>
                <w:lang w:eastAsia="en-US" w:bidi="ar-SA"/>
                <w14:ligatures w14:val="none"/>
              </w:rPr>
              <w:t xml:space="preserve">Ủy ban Thường vụ </w:t>
            </w:r>
            <w:r>
              <w:rPr>
                <w:sz w:val="24"/>
                <w:szCs w:val="24"/>
                <w:lang w:val="en-US" w:eastAsia="en-US" w:bidi="ar-SA"/>
                <w14:ligatures w14:val="none"/>
              </w:rPr>
              <w:t>Q</w:t>
            </w:r>
            <w:r>
              <w:rPr>
                <w:sz w:val="24"/>
                <w:szCs w:val="24"/>
                <w:lang w:eastAsia="en-US" w:bidi="ar-SA"/>
                <w14:ligatures w14:val="none"/>
              </w:rPr>
              <w:t>uốc hội;</w:t>
              <w:br/>
              <w:t>- Chính phủ, Văn phòng Chủ tịch nước;</w:t>
              <w:br/>
              <w:t xml:space="preserve">- </w:t>
            </w:r>
            <w:r>
              <w:rPr>
                <w:sz w:val="24"/>
                <w:szCs w:val="24"/>
                <w:lang w:val="en-US" w:eastAsia="en-US" w:bidi="ar-SA"/>
                <w14:ligatures w14:val="none"/>
              </w:rPr>
              <w:t xml:space="preserve">Các </w:t>
            </w:r>
            <w:r>
              <w:rPr>
                <w:sz w:val="24"/>
                <w:szCs w:val="24"/>
                <w:lang w:eastAsia="en-US" w:bidi="ar-SA"/>
                <w14:ligatures w14:val="none"/>
              </w:rPr>
              <w:t>Bộ: Nội vụ, Tài chính;</w:t>
              <w:br/>
              <w:t>- Vụ Pháp chế - Bộ Nội vụ;</w:t>
              <w:br/>
              <w:t xml:space="preserve">- </w:t>
            </w:r>
            <w:r>
              <w:rPr>
                <w:sz w:val="24"/>
                <w:szCs w:val="24"/>
                <w:lang w:val="nl-NL" w:eastAsia="en-US" w:bidi="ar-SA"/>
              </w:rPr>
              <w:t>Cục KTVB&amp;QLXLVPHC - Bộ Tư pháp</w:t>
            </w:r>
            <w:r>
              <w:rPr>
                <w:sz w:val="24"/>
                <w:szCs w:val="24"/>
                <w:lang w:eastAsia="en-US" w:bidi="ar-SA"/>
                <w14:ligatures w14:val="none"/>
              </w:rPr>
              <w:t>;</w:t>
              <w:br/>
              <w:t>- Ban Thường vụ Thành ủy;</w:t>
              <w:br/>
              <w:t>- Các cơ quan, tham mưu giúp việc Thành ủy;</w:t>
              <w:br/>
              <w:t>- Đoàn ĐBQH thành phố;</w:t>
              <w:br/>
              <w:t>- Thường trực HĐND thành phố;</w:t>
              <w:br/>
              <w:t>- UBN</w:t>
            </w:r>
            <w:r>
              <w:rPr>
                <w:sz w:val="24"/>
                <w:szCs w:val="24"/>
                <w:lang w:val="en-US" w:eastAsia="en-US" w:bidi="ar-SA"/>
                <w14:ligatures w14:val="none"/>
              </w:rPr>
              <w:t xml:space="preserve">D, </w:t>
            </w:r>
            <w:r>
              <w:rPr>
                <w:sz w:val="24"/>
                <w:szCs w:val="24"/>
                <w:lang w:eastAsia="en-US" w:bidi="ar-SA"/>
                <w14:ligatures w14:val="none"/>
              </w:rPr>
              <w:t>UBMTTQVN thành phố;</w:t>
              <w:br/>
              <w:t>- VP Đoàn ĐBQH và HĐND thành phố;</w:t>
              <w:br/>
              <w:t>- VP UBND thành phố;</w:t>
            </w:r>
          </w:p>
          <w:p>
            <w:pPr>
              <w:pStyle w:val="Normal"/>
              <w:widowControl/>
              <w:spacing w:before="0" w:after="0"/>
              <w:ind w:hanging="7" w:left="-105"/>
              <w:jc w:val="left"/>
              <w:rPr>
                <w:sz w:val="24"/>
                <w:szCs w:val="24"/>
                <w14:ligatures w14:val="none"/>
              </w:rPr>
            </w:pPr>
            <w:r>
              <w:rPr>
                <w:sz w:val="24"/>
                <w:szCs w:val="24"/>
                <w:lang w:eastAsia="en-US" w:bidi="ar-SA"/>
                <w14:ligatures w14:val="none"/>
              </w:rPr>
              <w:t>- Các sở, ban, ngành thành phố;</w:t>
              <w:br/>
            </w:r>
            <w:r>
              <w:rPr>
                <w:spacing w:val="-6"/>
                <w:sz w:val="24"/>
                <w:szCs w:val="24"/>
                <w:lang w:eastAsia="en-US" w:bidi="ar-SA"/>
                <w14:ligatures w14:val="none"/>
              </w:rPr>
              <w:t xml:space="preserve">- </w:t>
            </w:r>
            <w:r>
              <w:rPr>
                <w:spacing w:val="-6"/>
                <w:sz w:val="24"/>
                <w:szCs w:val="24"/>
                <w:lang w:val="en-US" w:eastAsia="en-US" w:bidi="ar-SA"/>
                <w14:ligatures w14:val="none"/>
              </w:rPr>
              <w:t xml:space="preserve">Đảng ủy, </w:t>
            </w:r>
            <w:r>
              <w:rPr>
                <w:spacing w:val="-6"/>
                <w:sz w:val="24"/>
                <w:szCs w:val="24"/>
                <w:lang w:eastAsia="en-US" w:bidi="ar-SA"/>
                <w14:ligatures w14:val="none"/>
              </w:rPr>
              <w:t>HĐND, UBND các phường, xã, đặc khu;</w:t>
            </w:r>
          </w:p>
          <w:p>
            <w:pPr>
              <w:pStyle w:val="Normal"/>
              <w:widowControl/>
              <w:spacing w:before="0" w:after="0"/>
              <w:ind w:hanging="7" w:left="-105"/>
              <w:jc w:val="left"/>
              <w:rPr>
                <w:bCs/>
                <w:sz w:val="24"/>
                <w:szCs w:val="24"/>
                <w:lang w:val="pl-PL"/>
              </w:rPr>
            </w:pPr>
            <w:r>
              <w:rPr>
                <w:bCs/>
                <w:sz w:val="24"/>
                <w:szCs w:val="24"/>
                <w:lang w:val="pl-PL" w:eastAsia="en-US" w:bidi="ar-SA"/>
              </w:rPr>
              <w:t>- Báo và PTTH ĐN, Trung tâm THVN (VTV8),    Chuyên đề CA TPĐN, Cổng TTĐT thành phố;</w:t>
            </w:r>
          </w:p>
          <w:p>
            <w:pPr>
              <w:pStyle w:val="Normal"/>
              <w:widowControl/>
              <w:spacing w:before="0" w:after="0"/>
              <w:ind w:hanging="7" w:left="-105"/>
              <w:jc w:val="left"/>
              <w:rPr>
                <w:bCs/>
                <w:lang w:val="pl-PL"/>
              </w:rPr>
            </w:pPr>
            <w:r>
              <w:rPr>
                <w:sz w:val="24"/>
                <w:szCs w:val="24"/>
                <w:lang w:eastAsia="en-US" w:bidi="ar-SA"/>
                <w14:ligatures w14:val="none"/>
              </w:rPr>
              <w:t>- Lưu: VT, CTHĐ.</w:t>
            </w:r>
            <w:r>
              <w:rPr>
                <w:lang w:eastAsia="en-US" w:bidi="ar-SA"/>
                <w14:ligatures w14:val="none"/>
              </w:rPr>
              <w:t xml:space="preserve"> </w:t>
            </w:r>
          </w:p>
        </w:tc>
        <w:tc>
          <w:tcPr>
            <w:tcW w:w="3817" w:type="dxa"/>
            <w:tcBorders>
              <w:top w:val="nil"/>
              <w:left w:val="nil"/>
              <w:bottom w:val="nil"/>
              <w:right w:val="nil"/>
            </w:tcBorders>
          </w:tcPr>
          <w:p>
            <w:pPr>
              <w:pStyle w:val="Normal"/>
              <w:widowControl w:val="false"/>
              <w:spacing w:before="0" w:after="0"/>
              <w:jc w:val="center"/>
              <w:rPr>
                <w:b/>
                <w:bCs/>
                <w:lang w:val="en-US"/>
              </w:rPr>
            </w:pPr>
            <w:r>
              <w:rPr>
                <w:b/>
                <w:bCs/>
                <w:lang w:val="en-US" w:eastAsia="en-US" w:bidi="ar-SA"/>
              </w:rPr>
              <w:t>CHỦ TỊCH</w:t>
            </w:r>
          </w:p>
          <w:p>
            <w:pPr>
              <w:pStyle w:val="Normal"/>
              <w:widowControl w:val="false"/>
              <w:spacing w:before="0" w:after="0"/>
              <w:jc w:val="center"/>
              <w:rPr>
                <w:b/>
                <w:bCs/>
                <w:lang w:val="en-US"/>
              </w:rPr>
            </w:pPr>
            <w:r>
              <w:rPr>
                <w:b/>
                <w:bCs/>
                <w:lang w:val="en-US" w:eastAsia="en-US" w:bidi="ar-SA"/>
              </w:rPr>
            </w:r>
          </w:p>
          <w:p>
            <w:pPr>
              <w:pStyle w:val="Normal"/>
              <w:widowControl w:val="false"/>
              <w:spacing w:before="0" w:after="0"/>
              <w:jc w:val="center"/>
              <w:rPr>
                <w:b/>
                <w:bCs/>
                <w:lang w:val="en-US"/>
              </w:rPr>
            </w:pPr>
            <w:r>
              <w:rPr>
                <w:b/>
                <w:bCs/>
                <w:lang w:val="en-US" w:eastAsia="en-US" w:bidi="ar-SA"/>
              </w:rPr>
            </w:r>
          </w:p>
          <w:p>
            <w:pPr>
              <w:pStyle w:val="Normal"/>
              <w:widowControl w:val="false"/>
              <w:spacing w:before="0" w:after="0"/>
              <w:jc w:val="center"/>
              <w:rPr>
                <w:b/>
                <w:bCs/>
                <w:lang w:val="en-US"/>
              </w:rPr>
            </w:pPr>
            <w:r>
              <w:rPr>
                <w:b/>
                <w:bCs/>
                <w:lang w:val="en-US" w:eastAsia="en-US" w:bidi="ar-SA"/>
              </w:rPr>
            </w:r>
          </w:p>
          <w:p>
            <w:pPr>
              <w:pStyle w:val="Normal"/>
              <w:widowControl w:val="false"/>
              <w:spacing w:before="0" w:after="0"/>
              <w:jc w:val="center"/>
              <w:rPr>
                <w:b/>
                <w:bCs/>
                <w:lang w:val="en-US"/>
              </w:rPr>
            </w:pPr>
            <w:r>
              <w:rPr>
                <w:b/>
                <w:bCs/>
                <w:lang w:val="en-US" w:eastAsia="en-US" w:bidi="ar-SA"/>
              </w:rPr>
            </w:r>
          </w:p>
          <w:p>
            <w:pPr>
              <w:pStyle w:val="Normal"/>
              <w:widowControl w:val="false"/>
              <w:spacing w:before="0" w:after="0"/>
              <w:jc w:val="center"/>
              <w:rPr>
                <w:b/>
                <w:bCs/>
                <w:lang w:val="en-US"/>
              </w:rPr>
            </w:pPr>
            <w:r>
              <w:rPr>
                <w:b/>
                <w:bCs/>
                <w:lang w:val="en-US" w:eastAsia="en-US" w:bidi="ar-SA"/>
              </w:rPr>
            </w:r>
          </w:p>
          <w:p>
            <w:pPr>
              <w:pStyle w:val="Normal"/>
              <w:widowControl w:val="false"/>
              <w:spacing w:before="0" w:after="0"/>
              <w:jc w:val="center"/>
              <w:rPr>
                <w:b/>
                <w:bCs/>
                <w:lang w:val="en-US"/>
              </w:rPr>
            </w:pPr>
            <w:r>
              <w:rPr>
                <w:b/>
                <w:bCs/>
                <w:lang w:val="en-US" w:eastAsia="en-US" w:bidi="ar-SA"/>
              </w:rPr>
            </w:r>
          </w:p>
          <w:p>
            <w:pPr>
              <w:pStyle w:val="Normal"/>
              <w:widowControl w:val="false"/>
              <w:spacing w:before="0" w:after="0"/>
              <w:jc w:val="center"/>
              <w:rPr>
                <w:b/>
                <w:bCs/>
                <w:lang w:val="en-US"/>
              </w:rPr>
            </w:pPr>
            <w:r>
              <w:rPr>
                <w:b/>
                <w:bCs/>
                <w:lang w:val="en-US" w:eastAsia="en-US" w:bidi="ar-SA"/>
              </w:rPr>
              <w:t>Nguyễn Đức Dũng</w:t>
            </w:r>
          </w:p>
        </w:tc>
      </w:tr>
    </w:tbl>
    <w:p>
      <w:pPr>
        <w:sectPr>
          <w:headerReference w:type="even" r:id="rId2"/>
          <w:headerReference w:type="default" r:id="rId3"/>
          <w:headerReference w:type="first" r:id="rId4"/>
          <w:type w:val="nextPage"/>
          <w:pgSz w:w="11906" w:h="16838"/>
          <w:pgMar w:left="1701" w:right="1134" w:gutter="0" w:header="720" w:top="1134" w:footer="0" w:bottom="1134"/>
          <w:pgNumType w:start="1" w:fmt="decimal"/>
          <w:formProt w:val="false"/>
          <w:titlePg/>
          <w:textDirection w:val="lrTb"/>
          <w:docGrid w:type="default" w:linePitch="381" w:charSpace="0"/>
        </w:sectPr>
      </w:pPr>
    </w:p>
    <w:p>
      <w:pPr>
        <w:pStyle w:val="Normal"/>
        <w:jc w:val="center"/>
        <w:rPr>
          <w:b/>
          <w:bCs/>
          <w:lang w:val="nl-NL"/>
        </w:rPr>
      </w:pPr>
      <w:r>
        <w:rPr>
          <w:b/>
          <w:bCs/>
          <w:lang w:val="nl-NL"/>
        </w:rPr>
        <w:t>Phụ lục I</w:t>
      </w:r>
    </w:p>
    <w:p>
      <w:pPr>
        <w:pStyle w:val="Normal"/>
        <w:jc w:val="center"/>
        <w:rPr>
          <w:b/>
          <w:bCs/>
          <w:lang w:val="nl-NL"/>
        </w:rPr>
      </w:pPr>
      <w:r>
        <w:rPr>
          <w:b/>
          <w:bCs/>
          <w:lang w:val="nl-NL"/>
        </w:rPr>
        <w:t xml:space="preserve">MỨC PHỤ CẤP CỦA NGƯỜI HOẠT ĐỘNG </w:t>
      </w:r>
    </w:p>
    <w:p>
      <w:pPr>
        <w:pStyle w:val="Normal"/>
        <w:jc w:val="center"/>
        <w:rPr>
          <w:b/>
          <w:bCs/>
          <w:lang w:val="nl-NL"/>
        </w:rPr>
      </w:pPr>
      <w:r>
        <w:rPr>
          <w:b/>
          <w:bCs/>
          <w:lang w:val="nl-NL"/>
        </w:rPr>
        <w:t>KHÔNG CHUYÊN TRÁCH CẤP XÃ</w:t>
      </w:r>
    </w:p>
    <w:p>
      <w:pPr>
        <w:pStyle w:val="Normal"/>
        <w:jc w:val="center"/>
        <w:rPr>
          <w:bCs/>
          <w:i/>
          <w:lang w:val="nl-NL"/>
        </w:rPr>
      </w:pPr>
      <w:r>
        <w:rPr>
          <w:bCs/>
          <w:i/>
          <w:lang w:val="nl-NL"/>
        </w:rPr>
        <w:t>(Ban hành kèm theo Nghị quyết số            /2026/NQ-HĐND</w:t>
      </w:r>
    </w:p>
    <w:p>
      <w:pPr>
        <w:pStyle w:val="Normal"/>
        <w:jc w:val="center"/>
        <w:rPr>
          <w:bCs/>
          <w:i/>
          <w:lang w:val="nl-NL"/>
        </w:rPr>
      </w:pPr>
      <w:r>
        <w:rPr>
          <w:bCs/>
          <w:i/>
          <w:lang w:val="nl-NL"/>
        </w:rPr>
        <w:t xml:space="preserve"> </w:t>
      </w:r>
      <w:r>
        <w:rPr>
          <w:bCs/>
          <w:i/>
          <w:lang w:val="nl-NL"/>
        </w:rPr>
        <w:t>ngày       tháng 6 năm 2026 của HĐND thành phố)</w:t>
      </w:r>
    </w:p>
    <w:p>
      <w:pPr>
        <w:pStyle w:val="Normal"/>
        <w:jc w:val="center"/>
        <w:rPr>
          <w:bCs/>
          <w:i/>
          <w:lang w:val="nl-NL"/>
        </w:rPr>
      </w:pPr>
      <w:r>
        <w:rPr>
          <w:bCs/>
          <w:i/>
          <w:lang w:val="nl-NL"/>
        </w:rPr>
      </w:r>
    </w:p>
    <w:tbl>
      <w:tblPr>
        <w:tblW w:w="9356"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590"/>
        <w:gridCol w:w="4797"/>
        <w:gridCol w:w="2410"/>
        <w:gridCol w:w="1559"/>
      </w:tblGrid>
      <w:tr>
        <w:trPr>
          <w:tblHeader w:val="true"/>
          <w:trHeight w:val="1002" w:hRule="atLeast"/>
        </w:trPr>
        <w:tc>
          <w:tcPr>
            <w:tcW w:w="59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
                <w:bCs/>
              </w:rPr>
            </w:pPr>
            <w:r>
              <w:rPr>
                <w:b/>
                <w:bCs/>
              </w:rPr>
              <w:t>Số</w:t>
              <w:br/>
              <w:t>TT</w:t>
            </w:r>
          </w:p>
        </w:tc>
        <w:tc>
          <w:tcPr>
            <w:tcW w:w="4797" w:type="dxa"/>
            <w:tcBorders>
              <w:top w:val="single" w:sz="4" w:space="0" w:color="000000"/>
              <w:bottom w:val="single" w:sz="4" w:space="0" w:color="000000"/>
              <w:right w:val="single" w:sz="4" w:space="0" w:color="000000"/>
            </w:tcBorders>
            <w:vAlign w:val="center"/>
          </w:tcPr>
          <w:p>
            <w:pPr>
              <w:pStyle w:val="Normal"/>
              <w:jc w:val="center"/>
              <w:rPr>
                <w:b/>
                <w:bCs/>
              </w:rPr>
            </w:pPr>
            <w:r>
              <w:rPr>
                <w:b/>
                <w:bCs/>
              </w:rPr>
              <w:t>Quy mô thôn,</w:t>
            </w:r>
          </w:p>
          <w:p>
            <w:pPr>
              <w:pStyle w:val="Normal"/>
              <w:jc w:val="center"/>
              <w:rPr>
                <w:b/>
                <w:bCs/>
              </w:rPr>
            </w:pPr>
            <w:r>
              <w:rPr>
                <w:b/>
                <w:bCs/>
              </w:rPr>
              <w:t xml:space="preserve"> </w:t>
            </w:r>
            <w:r>
              <w:rPr>
                <w:b/>
                <w:bCs/>
              </w:rPr>
              <w:t>tổ dân phố</w:t>
            </w:r>
          </w:p>
        </w:tc>
        <w:tc>
          <w:tcPr>
            <w:tcW w:w="2410" w:type="dxa"/>
            <w:tcBorders>
              <w:top w:val="single" w:sz="4" w:space="0" w:color="000000"/>
              <w:bottom w:val="single" w:sz="4" w:space="0" w:color="000000"/>
              <w:right w:val="single" w:sz="4" w:space="0" w:color="000000"/>
            </w:tcBorders>
            <w:vAlign w:val="center"/>
          </w:tcPr>
          <w:p>
            <w:pPr>
              <w:pStyle w:val="Normal"/>
              <w:jc w:val="center"/>
              <w:rPr>
                <w:b/>
                <w:bCs/>
              </w:rPr>
            </w:pPr>
            <w:r>
              <w:rPr>
                <w:b/>
                <w:bCs/>
              </w:rPr>
              <w:t>Chức danh</w:t>
            </w:r>
          </w:p>
        </w:tc>
        <w:tc>
          <w:tcPr>
            <w:tcW w:w="1559" w:type="dxa"/>
            <w:tcBorders>
              <w:top w:val="single" w:sz="4" w:space="0" w:color="000000"/>
              <w:bottom w:val="single" w:sz="4" w:space="0" w:color="000000"/>
              <w:right w:val="single" w:sz="4" w:space="0" w:color="000000"/>
            </w:tcBorders>
            <w:vAlign w:val="center"/>
          </w:tcPr>
          <w:p>
            <w:pPr>
              <w:pStyle w:val="Normal"/>
              <w:jc w:val="center"/>
              <w:rPr>
                <w:b/>
                <w:bCs/>
              </w:rPr>
            </w:pPr>
            <w:r>
              <w:rPr>
                <w:b/>
                <w:bCs/>
              </w:rPr>
              <w:t>Mức phụ cấp hàng tháng</w:t>
            </w:r>
            <w:r>
              <w:rPr>
                <w:rStyle w:val="FootnoteReference"/>
                <w:b/>
                <w:bCs/>
              </w:rPr>
              <w:footnoteReference w:id="2"/>
            </w:r>
            <w:r>
              <w:rPr>
                <w:b/>
                <w:bCs/>
              </w:rPr>
              <w:t xml:space="preserve"> </w:t>
            </w:r>
          </w:p>
        </w:tc>
      </w:tr>
      <w:tr>
        <w:trPr>
          <w:trHeight w:val="525" w:hRule="atLeast"/>
        </w:trPr>
        <w:tc>
          <w:tcPr>
            <w:tcW w:w="590" w:type="dxa"/>
            <w:vMerge w:val="restart"/>
            <w:tcBorders>
              <w:left w:val="single" w:sz="4" w:space="0" w:color="000000"/>
              <w:bottom w:val="single" w:sz="4" w:space="0" w:color="000000"/>
              <w:right w:val="single" w:sz="4" w:space="0" w:color="000000"/>
            </w:tcBorders>
            <w:vAlign w:val="center"/>
          </w:tcPr>
          <w:p>
            <w:pPr>
              <w:pStyle w:val="Normal"/>
              <w:jc w:val="center"/>
              <w:rPr/>
            </w:pPr>
            <w:r>
              <w:rPr/>
              <w:t>1</w:t>
            </w:r>
          </w:p>
        </w:tc>
        <w:tc>
          <w:tcPr>
            <w:tcW w:w="4797" w:type="dxa"/>
            <w:vMerge w:val="restart"/>
            <w:tcBorders>
              <w:left w:val="single" w:sz="4" w:space="0" w:color="000000"/>
              <w:bottom w:val="single" w:sz="4" w:space="0" w:color="000000"/>
              <w:right w:val="single" w:sz="4" w:space="0" w:color="000000"/>
            </w:tcBorders>
            <w:vAlign w:val="center"/>
          </w:tcPr>
          <w:p>
            <w:pPr>
              <w:pStyle w:val="Normal"/>
              <w:rPr>
                <w:lang w:val="en-US"/>
              </w:rPr>
            </w:pPr>
            <w:r>
              <w:rPr/>
              <w:t>Thôn: Dưới 300 hộ gia đình</w:t>
            </w:r>
            <w:r>
              <w:rPr>
                <w:lang w:val="en-US"/>
              </w:rPr>
              <w:t>;</w:t>
            </w:r>
            <w:r>
              <w:rPr/>
              <w:br/>
              <w:t>Tổ dân phố: Dưới 450 hộ gia đình</w:t>
            </w:r>
            <w:r>
              <w:rPr>
                <w:lang w:val="en-US"/>
              </w:rPr>
              <w:t>.</w:t>
            </w:r>
          </w:p>
        </w:tc>
        <w:tc>
          <w:tcPr>
            <w:tcW w:w="2410" w:type="dxa"/>
            <w:tcBorders>
              <w:bottom w:val="single" w:sz="4" w:space="0" w:color="000000"/>
              <w:right w:val="single" w:sz="4" w:space="0" w:color="000000"/>
            </w:tcBorders>
            <w:vAlign w:val="center"/>
          </w:tcPr>
          <w:p>
            <w:pPr>
              <w:pStyle w:val="Normal"/>
              <w:spacing w:before="120" w:after="120"/>
              <w:rPr/>
            </w:pPr>
            <w:r>
              <w:rPr/>
              <w:t>Bí thư Chi bộ</w:t>
            </w:r>
          </w:p>
        </w:tc>
        <w:tc>
          <w:tcPr>
            <w:tcW w:w="1559" w:type="dxa"/>
            <w:tcBorders>
              <w:bottom w:val="single" w:sz="4" w:space="0" w:color="000000"/>
              <w:right w:val="single" w:sz="4" w:space="0" w:color="000000"/>
            </w:tcBorders>
            <w:vAlign w:val="center"/>
          </w:tcPr>
          <w:p>
            <w:pPr>
              <w:pStyle w:val="Normal"/>
              <w:jc w:val="center"/>
              <w:rPr/>
            </w:pPr>
            <w:r>
              <w:rPr/>
              <w:t>2,1</w:t>
            </w:r>
          </w:p>
        </w:tc>
      </w:tr>
      <w:tr>
        <w:trPr>
          <w:trHeight w:val="585" w:hRule="atLeast"/>
        </w:trPr>
        <w:tc>
          <w:tcPr>
            <w:tcW w:w="590" w:type="dxa"/>
            <w:vMerge w:val="continue"/>
            <w:tcBorders>
              <w:left w:val="single" w:sz="4" w:space="0" w:color="000000"/>
              <w:bottom w:val="single" w:sz="4" w:space="0" w:color="000000"/>
              <w:right w:val="single" w:sz="4" w:space="0" w:color="000000"/>
            </w:tcBorders>
            <w:vAlign w:val="center"/>
          </w:tcPr>
          <w:p>
            <w:pPr>
              <w:pStyle w:val="Normal"/>
              <w:rPr/>
            </w:pPr>
            <w:r>
              <w:rPr/>
            </w:r>
          </w:p>
        </w:tc>
        <w:tc>
          <w:tcPr>
            <w:tcW w:w="4797" w:type="dxa"/>
            <w:vMerge w:val="continue"/>
            <w:tcBorders>
              <w:left w:val="single" w:sz="4" w:space="0" w:color="000000"/>
              <w:bottom w:val="single" w:sz="4" w:space="0" w:color="000000"/>
              <w:right w:val="single" w:sz="4" w:space="0" w:color="000000"/>
            </w:tcBorders>
            <w:vAlign w:val="center"/>
          </w:tcPr>
          <w:p>
            <w:pPr>
              <w:pStyle w:val="Normal"/>
              <w:rPr/>
            </w:pPr>
            <w:r>
              <w:rPr/>
            </w:r>
          </w:p>
        </w:tc>
        <w:tc>
          <w:tcPr>
            <w:tcW w:w="2410" w:type="dxa"/>
            <w:tcBorders>
              <w:bottom w:val="single" w:sz="4" w:space="0" w:color="000000"/>
              <w:right w:val="single" w:sz="4" w:space="0" w:color="000000"/>
            </w:tcBorders>
            <w:vAlign w:val="center"/>
          </w:tcPr>
          <w:p>
            <w:pPr>
              <w:pStyle w:val="Normal"/>
              <w:spacing w:before="120" w:after="120"/>
              <w:jc w:val="both"/>
              <w:rPr/>
            </w:pPr>
            <w:r>
              <w:rPr/>
              <w:t>Trưởng thôn; Tổ trưởng tổ dân phố</w:t>
            </w:r>
          </w:p>
        </w:tc>
        <w:tc>
          <w:tcPr>
            <w:tcW w:w="1559" w:type="dxa"/>
            <w:tcBorders>
              <w:bottom w:val="single" w:sz="4" w:space="0" w:color="000000"/>
              <w:right w:val="single" w:sz="4" w:space="0" w:color="000000"/>
            </w:tcBorders>
            <w:vAlign w:val="center"/>
          </w:tcPr>
          <w:p>
            <w:pPr>
              <w:pStyle w:val="Normal"/>
              <w:jc w:val="center"/>
              <w:rPr/>
            </w:pPr>
            <w:r>
              <w:rPr/>
              <w:t>1,9</w:t>
            </w:r>
          </w:p>
        </w:tc>
      </w:tr>
      <w:tr>
        <w:trPr>
          <w:trHeight w:val="555" w:hRule="atLeast"/>
        </w:trPr>
        <w:tc>
          <w:tcPr>
            <w:tcW w:w="590" w:type="dxa"/>
            <w:vMerge w:val="continue"/>
            <w:tcBorders>
              <w:left w:val="single" w:sz="4" w:space="0" w:color="000000"/>
              <w:bottom w:val="single" w:sz="4" w:space="0" w:color="000000"/>
              <w:right w:val="single" w:sz="4" w:space="0" w:color="000000"/>
            </w:tcBorders>
            <w:vAlign w:val="center"/>
          </w:tcPr>
          <w:p>
            <w:pPr>
              <w:pStyle w:val="Normal"/>
              <w:rPr/>
            </w:pPr>
            <w:r>
              <w:rPr/>
            </w:r>
          </w:p>
        </w:tc>
        <w:tc>
          <w:tcPr>
            <w:tcW w:w="4797" w:type="dxa"/>
            <w:vMerge w:val="continue"/>
            <w:tcBorders>
              <w:left w:val="single" w:sz="4" w:space="0" w:color="000000"/>
              <w:bottom w:val="single" w:sz="4" w:space="0" w:color="000000"/>
              <w:right w:val="single" w:sz="4" w:space="0" w:color="000000"/>
            </w:tcBorders>
            <w:vAlign w:val="center"/>
          </w:tcPr>
          <w:p>
            <w:pPr>
              <w:pStyle w:val="Normal"/>
              <w:rPr/>
            </w:pPr>
            <w:r>
              <w:rPr/>
            </w:r>
          </w:p>
        </w:tc>
        <w:tc>
          <w:tcPr>
            <w:tcW w:w="2410" w:type="dxa"/>
            <w:tcBorders>
              <w:bottom w:val="single" w:sz="4" w:space="0" w:color="000000"/>
              <w:right w:val="single" w:sz="4" w:space="0" w:color="000000"/>
            </w:tcBorders>
            <w:vAlign w:val="center"/>
          </w:tcPr>
          <w:p>
            <w:pPr>
              <w:pStyle w:val="Normal"/>
              <w:spacing w:before="120" w:after="120"/>
              <w:jc w:val="both"/>
              <w:rPr/>
            </w:pPr>
            <w:r>
              <w:rPr/>
              <w:t>Trưởng Ban Công tác Mặt trận</w:t>
            </w:r>
          </w:p>
        </w:tc>
        <w:tc>
          <w:tcPr>
            <w:tcW w:w="1559" w:type="dxa"/>
            <w:tcBorders>
              <w:bottom w:val="single" w:sz="4" w:space="0" w:color="000000"/>
              <w:right w:val="single" w:sz="4" w:space="0" w:color="000000"/>
            </w:tcBorders>
            <w:vAlign w:val="center"/>
          </w:tcPr>
          <w:p>
            <w:pPr>
              <w:pStyle w:val="Normal"/>
              <w:jc w:val="center"/>
              <w:rPr/>
            </w:pPr>
            <w:r>
              <w:rPr/>
              <w:t>1,8</w:t>
            </w:r>
          </w:p>
        </w:tc>
      </w:tr>
      <w:tr>
        <w:trPr>
          <w:trHeight w:val="555" w:hRule="atLeast"/>
        </w:trPr>
        <w:tc>
          <w:tcPr>
            <w:tcW w:w="590" w:type="dxa"/>
            <w:vMerge w:val="restart"/>
            <w:tcBorders>
              <w:left w:val="single" w:sz="4" w:space="0" w:color="000000"/>
              <w:bottom w:val="single" w:sz="4" w:space="0" w:color="000000"/>
              <w:right w:val="single" w:sz="4" w:space="0" w:color="000000"/>
            </w:tcBorders>
            <w:vAlign w:val="center"/>
          </w:tcPr>
          <w:p>
            <w:pPr>
              <w:pStyle w:val="Normal"/>
              <w:jc w:val="center"/>
              <w:rPr/>
            </w:pPr>
            <w:r>
              <w:rPr/>
              <w:t>2</w:t>
            </w:r>
          </w:p>
        </w:tc>
        <w:tc>
          <w:tcPr>
            <w:tcW w:w="4797" w:type="dxa"/>
            <w:vMerge w:val="restart"/>
            <w:tcBorders>
              <w:left w:val="single" w:sz="4" w:space="0" w:color="000000"/>
              <w:bottom w:val="single" w:sz="4" w:space="0" w:color="000000"/>
              <w:right w:val="single" w:sz="4" w:space="0" w:color="000000"/>
            </w:tcBorders>
            <w:vAlign w:val="center"/>
          </w:tcPr>
          <w:p>
            <w:pPr>
              <w:pStyle w:val="Normal"/>
              <w:rPr>
                <w:lang w:val="en-US"/>
              </w:rPr>
            </w:pPr>
            <w:r>
              <w:rPr/>
              <w:t>Thôn: Từ 300 đến dưới 700 hộ gia đình</w:t>
            </w:r>
            <w:r>
              <w:rPr>
                <w:lang w:val="en-US"/>
              </w:rPr>
              <w:t>;</w:t>
            </w:r>
            <w:r>
              <w:rPr/>
              <w:br/>
              <w:t>Tổ dân phố: Từ 450 đến dưới 1.000 hộ gia đình</w:t>
            </w:r>
            <w:r>
              <w:rPr>
                <w:lang w:val="en-US"/>
              </w:rPr>
              <w:t>.</w:t>
            </w:r>
          </w:p>
        </w:tc>
        <w:tc>
          <w:tcPr>
            <w:tcW w:w="2410" w:type="dxa"/>
            <w:tcBorders>
              <w:bottom w:val="single" w:sz="4" w:space="0" w:color="000000"/>
              <w:right w:val="single" w:sz="4" w:space="0" w:color="000000"/>
            </w:tcBorders>
            <w:vAlign w:val="center"/>
          </w:tcPr>
          <w:p>
            <w:pPr>
              <w:pStyle w:val="Normal"/>
              <w:spacing w:before="120" w:after="120"/>
              <w:jc w:val="both"/>
              <w:rPr/>
            </w:pPr>
            <w:r>
              <w:rPr/>
              <w:t>Bí thư Chi bộ</w:t>
            </w:r>
          </w:p>
        </w:tc>
        <w:tc>
          <w:tcPr>
            <w:tcW w:w="1559" w:type="dxa"/>
            <w:tcBorders>
              <w:bottom w:val="single" w:sz="4" w:space="0" w:color="000000"/>
              <w:right w:val="single" w:sz="4" w:space="0" w:color="000000"/>
            </w:tcBorders>
            <w:vAlign w:val="center"/>
          </w:tcPr>
          <w:p>
            <w:pPr>
              <w:pStyle w:val="Normal"/>
              <w:jc w:val="center"/>
              <w:rPr/>
            </w:pPr>
            <w:r>
              <w:rPr/>
              <w:t>2,3</w:t>
            </w:r>
          </w:p>
        </w:tc>
      </w:tr>
      <w:tr>
        <w:trPr>
          <w:trHeight w:val="555" w:hRule="atLeast"/>
        </w:trPr>
        <w:tc>
          <w:tcPr>
            <w:tcW w:w="590" w:type="dxa"/>
            <w:vMerge w:val="continue"/>
            <w:tcBorders>
              <w:left w:val="single" w:sz="4" w:space="0" w:color="000000"/>
              <w:bottom w:val="single" w:sz="4" w:space="0" w:color="000000"/>
              <w:right w:val="single" w:sz="4" w:space="0" w:color="000000"/>
            </w:tcBorders>
            <w:vAlign w:val="center"/>
          </w:tcPr>
          <w:p>
            <w:pPr>
              <w:pStyle w:val="Normal"/>
              <w:rPr/>
            </w:pPr>
            <w:r>
              <w:rPr/>
            </w:r>
          </w:p>
        </w:tc>
        <w:tc>
          <w:tcPr>
            <w:tcW w:w="4797" w:type="dxa"/>
            <w:vMerge w:val="continue"/>
            <w:tcBorders>
              <w:left w:val="single" w:sz="4" w:space="0" w:color="000000"/>
              <w:bottom w:val="single" w:sz="4" w:space="0" w:color="000000"/>
              <w:right w:val="single" w:sz="4" w:space="0" w:color="000000"/>
            </w:tcBorders>
            <w:vAlign w:val="center"/>
          </w:tcPr>
          <w:p>
            <w:pPr>
              <w:pStyle w:val="Normal"/>
              <w:rPr/>
            </w:pPr>
            <w:r>
              <w:rPr/>
            </w:r>
          </w:p>
        </w:tc>
        <w:tc>
          <w:tcPr>
            <w:tcW w:w="2410" w:type="dxa"/>
            <w:tcBorders>
              <w:bottom w:val="single" w:sz="4" w:space="0" w:color="000000"/>
              <w:right w:val="single" w:sz="4" w:space="0" w:color="000000"/>
            </w:tcBorders>
            <w:vAlign w:val="center"/>
          </w:tcPr>
          <w:p>
            <w:pPr>
              <w:pStyle w:val="Normal"/>
              <w:spacing w:before="120" w:after="120"/>
              <w:jc w:val="both"/>
              <w:rPr/>
            </w:pPr>
            <w:r>
              <w:rPr/>
              <w:t>Trưởng thôn; Tổ trưởng tổ dân phố</w:t>
            </w:r>
          </w:p>
        </w:tc>
        <w:tc>
          <w:tcPr>
            <w:tcW w:w="1559" w:type="dxa"/>
            <w:tcBorders>
              <w:bottom w:val="single" w:sz="4" w:space="0" w:color="000000"/>
              <w:right w:val="single" w:sz="4" w:space="0" w:color="000000"/>
            </w:tcBorders>
            <w:vAlign w:val="center"/>
          </w:tcPr>
          <w:p>
            <w:pPr>
              <w:pStyle w:val="Normal"/>
              <w:jc w:val="center"/>
              <w:rPr/>
            </w:pPr>
            <w:r>
              <w:rPr/>
              <w:t>2,1</w:t>
            </w:r>
          </w:p>
        </w:tc>
      </w:tr>
      <w:tr>
        <w:trPr>
          <w:trHeight w:val="540" w:hRule="atLeast"/>
        </w:trPr>
        <w:tc>
          <w:tcPr>
            <w:tcW w:w="590" w:type="dxa"/>
            <w:vMerge w:val="continue"/>
            <w:tcBorders>
              <w:left w:val="single" w:sz="4" w:space="0" w:color="000000"/>
              <w:bottom w:val="single" w:sz="4" w:space="0" w:color="000000"/>
              <w:right w:val="single" w:sz="4" w:space="0" w:color="000000"/>
            </w:tcBorders>
            <w:vAlign w:val="center"/>
          </w:tcPr>
          <w:p>
            <w:pPr>
              <w:pStyle w:val="Normal"/>
              <w:rPr/>
            </w:pPr>
            <w:r>
              <w:rPr/>
            </w:r>
          </w:p>
        </w:tc>
        <w:tc>
          <w:tcPr>
            <w:tcW w:w="4797" w:type="dxa"/>
            <w:vMerge w:val="continue"/>
            <w:tcBorders>
              <w:left w:val="single" w:sz="4" w:space="0" w:color="000000"/>
              <w:bottom w:val="single" w:sz="4" w:space="0" w:color="000000"/>
              <w:right w:val="single" w:sz="4" w:space="0" w:color="000000"/>
            </w:tcBorders>
            <w:vAlign w:val="center"/>
          </w:tcPr>
          <w:p>
            <w:pPr>
              <w:pStyle w:val="Normal"/>
              <w:rPr/>
            </w:pPr>
            <w:r>
              <w:rPr/>
            </w:r>
          </w:p>
        </w:tc>
        <w:tc>
          <w:tcPr>
            <w:tcW w:w="2410" w:type="dxa"/>
            <w:tcBorders>
              <w:bottom w:val="single" w:sz="4" w:space="0" w:color="000000"/>
              <w:right w:val="single" w:sz="4" w:space="0" w:color="000000"/>
            </w:tcBorders>
            <w:vAlign w:val="center"/>
          </w:tcPr>
          <w:p>
            <w:pPr>
              <w:pStyle w:val="Normal"/>
              <w:spacing w:before="120" w:after="120"/>
              <w:jc w:val="both"/>
              <w:rPr/>
            </w:pPr>
            <w:r>
              <w:rPr/>
              <w:t>Trưởng Ban Công tác Mặt trận</w:t>
            </w:r>
          </w:p>
        </w:tc>
        <w:tc>
          <w:tcPr>
            <w:tcW w:w="1559" w:type="dxa"/>
            <w:tcBorders>
              <w:bottom w:val="single" w:sz="4" w:space="0" w:color="000000"/>
              <w:right w:val="single" w:sz="4" w:space="0" w:color="000000"/>
            </w:tcBorders>
            <w:vAlign w:val="center"/>
          </w:tcPr>
          <w:p>
            <w:pPr>
              <w:pStyle w:val="Normal"/>
              <w:jc w:val="center"/>
              <w:rPr/>
            </w:pPr>
            <w:r>
              <w:rPr/>
              <w:t>2,0</w:t>
            </w:r>
          </w:p>
        </w:tc>
      </w:tr>
      <w:tr>
        <w:trPr>
          <w:trHeight w:val="840" w:hRule="atLeast"/>
        </w:trPr>
        <w:tc>
          <w:tcPr>
            <w:tcW w:w="590" w:type="dxa"/>
            <w:vMerge w:val="restart"/>
            <w:tcBorders>
              <w:left w:val="single" w:sz="4" w:space="0" w:color="000000"/>
              <w:bottom w:val="single" w:sz="4" w:space="0" w:color="000000"/>
              <w:right w:val="single" w:sz="4" w:space="0" w:color="000000"/>
            </w:tcBorders>
            <w:vAlign w:val="center"/>
          </w:tcPr>
          <w:p>
            <w:pPr>
              <w:pStyle w:val="Normal"/>
              <w:jc w:val="center"/>
              <w:rPr/>
            </w:pPr>
            <w:r>
              <w:rPr/>
              <w:t>3</w:t>
            </w:r>
          </w:p>
        </w:tc>
        <w:tc>
          <w:tcPr>
            <w:tcW w:w="4797" w:type="dxa"/>
            <w:vMerge w:val="restart"/>
            <w:tcBorders>
              <w:left w:val="single" w:sz="4" w:space="0" w:color="000000"/>
              <w:bottom w:val="single" w:sz="4" w:space="0" w:color="000000"/>
              <w:right w:val="single" w:sz="4" w:space="0" w:color="000000"/>
            </w:tcBorders>
            <w:vAlign w:val="center"/>
          </w:tcPr>
          <w:p>
            <w:pPr>
              <w:pStyle w:val="Normal"/>
              <w:jc w:val="both"/>
              <w:rPr>
                <w:lang w:val="en-US"/>
              </w:rPr>
            </w:pPr>
            <w:r>
              <w:rPr/>
              <w:t>Thôn: Từ 700 hộ gia đình trở lên</w:t>
            </w:r>
            <w:r>
              <w:rPr>
                <w:lang w:val="en-US"/>
              </w:rPr>
              <w:t>;</w:t>
            </w:r>
          </w:p>
          <w:p>
            <w:pPr>
              <w:pStyle w:val="Normal"/>
              <w:jc w:val="both"/>
              <w:rPr>
                <w:lang w:val="en-US"/>
              </w:rPr>
            </w:pPr>
            <w:r>
              <w:rPr/>
              <w:t>Tổ dân phố: Từ 1.000 hộ gia đình trở lên</w:t>
            </w:r>
            <w:r>
              <w:rPr>
                <w:lang w:val="en-US"/>
              </w:rPr>
              <w:t>;</w:t>
            </w:r>
          </w:p>
          <w:p>
            <w:pPr>
              <w:pStyle w:val="Normal"/>
              <w:jc w:val="both"/>
              <w:rPr>
                <w:lang w:val="en-US"/>
              </w:rPr>
            </w:pPr>
            <w:r>
              <w:rPr/>
              <w:t>Thôn, tổ dân phố thuộc đơn vị hành chính cấp xã trọng điểm về quốc phòng theo quyết định của cơ quan có thẩm quyền; thôn, tổ dân phố thuộc đơn vị hành chính cấp xã ở khu vực biên giới, hải đảo, thôn đặc biệt khó khăn</w:t>
            </w:r>
            <w:r>
              <w:rPr>
                <w:lang w:val="en-US"/>
              </w:rPr>
              <w:t>.</w:t>
            </w:r>
          </w:p>
        </w:tc>
        <w:tc>
          <w:tcPr>
            <w:tcW w:w="2410" w:type="dxa"/>
            <w:tcBorders>
              <w:bottom w:val="single" w:sz="4" w:space="0" w:color="000000"/>
              <w:right w:val="single" w:sz="4" w:space="0" w:color="000000"/>
            </w:tcBorders>
            <w:vAlign w:val="center"/>
          </w:tcPr>
          <w:p>
            <w:pPr>
              <w:pStyle w:val="Normal"/>
              <w:spacing w:before="120" w:after="120"/>
              <w:jc w:val="both"/>
              <w:rPr/>
            </w:pPr>
            <w:r>
              <w:rPr/>
              <w:t>Bí thư Chi bộ</w:t>
            </w:r>
          </w:p>
        </w:tc>
        <w:tc>
          <w:tcPr>
            <w:tcW w:w="1559" w:type="dxa"/>
            <w:tcBorders>
              <w:bottom w:val="single" w:sz="4" w:space="0" w:color="000000"/>
              <w:right w:val="single" w:sz="4" w:space="0" w:color="000000"/>
            </w:tcBorders>
            <w:vAlign w:val="center"/>
          </w:tcPr>
          <w:p>
            <w:pPr>
              <w:pStyle w:val="Normal"/>
              <w:jc w:val="center"/>
              <w:rPr/>
            </w:pPr>
            <w:r>
              <w:rPr/>
              <w:t>2,5</w:t>
            </w:r>
          </w:p>
        </w:tc>
      </w:tr>
      <w:tr>
        <w:trPr>
          <w:trHeight w:val="870" w:hRule="atLeast"/>
        </w:trPr>
        <w:tc>
          <w:tcPr>
            <w:tcW w:w="590" w:type="dxa"/>
            <w:vMerge w:val="continue"/>
            <w:tcBorders>
              <w:left w:val="single" w:sz="4" w:space="0" w:color="000000"/>
              <w:bottom w:val="single" w:sz="4" w:space="0" w:color="000000"/>
              <w:right w:val="single" w:sz="4" w:space="0" w:color="000000"/>
            </w:tcBorders>
            <w:vAlign w:val="center"/>
          </w:tcPr>
          <w:p>
            <w:pPr>
              <w:pStyle w:val="Normal"/>
              <w:rPr/>
            </w:pPr>
            <w:r>
              <w:rPr/>
            </w:r>
          </w:p>
        </w:tc>
        <w:tc>
          <w:tcPr>
            <w:tcW w:w="4797" w:type="dxa"/>
            <w:vMerge w:val="continue"/>
            <w:tcBorders>
              <w:left w:val="single" w:sz="4" w:space="0" w:color="000000"/>
              <w:bottom w:val="single" w:sz="4" w:space="0" w:color="000000"/>
              <w:right w:val="single" w:sz="4" w:space="0" w:color="000000"/>
            </w:tcBorders>
            <w:vAlign w:val="center"/>
          </w:tcPr>
          <w:p>
            <w:pPr>
              <w:pStyle w:val="Normal"/>
              <w:rPr/>
            </w:pPr>
            <w:r>
              <w:rPr/>
            </w:r>
          </w:p>
        </w:tc>
        <w:tc>
          <w:tcPr>
            <w:tcW w:w="2410" w:type="dxa"/>
            <w:tcBorders>
              <w:bottom w:val="single" w:sz="4" w:space="0" w:color="000000"/>
              <w:right w:val="single" w:sz="4" w:space="0" w:color="000000"/>
            </w:tcBorders>
            <w:vAlign w:val="center"/>
          </w:tcPr>
          <w:p>
            <w:pPr>
              <w:pStyle w:val="Normal"/>
              <w:spacing w:before="120" w:after="120"/>
              <w:jc w:val="both"/>
              <w:rPr/>
            </w:pPr>
            <w:r>
              <w:rPr/>
              <w:t>Trưởng thôn; Tổ trưởng tổ dân phố</w:t>
            </w:r>
          </w:p>
        </w:tc>
        <w:tc>
          <w:tcPr>
            <w:tcW w:w="1559" w:type="dxa"/>
            <w:tcBorders>
              <w:bottom w:val="single" w:sz="4" w:space="0" w:color="000000"/>
              <w:right w:val="single" w:sz="4" w:space="0" w:color="000000"/>
            </w:tcBorders>
            <w:vAlign w:val="center"/>
          </w:tcPr>
          <w:p>
            <w:pPr>
              <w:pStyle w:val="Normal"/>
              <w:jc w:val="center"/>
              <w:rPr/>
            </w:pPr>
            <w:r>
              <w:rPr/>
              <w:t>2,3</w:t>
            </w:r>
          </w:p>
        </w:tc>
      </w:tr>
      <w:tr>
        <w:trPr>
          <w:trHeight w:val="1020" w:hRule="atLeast"/>
        </w:trPr>
        <w:tc>
          <w:tcPr>
            <w:tcW w:w="590" w:type="dxa"/>
            <w:vMerge w:val="continue"/>
            <w:tcBorders>
              <w:left w:val="single" w:sz="4" w:space="0" w:color="000000"/>
              <w:bottom w:val="single" w:sz="4" w:space="0" w:color="000000"/>
              <w:right w:val="single" w:sz="4" w:space="0" w:color="000000"/>
            </w:tcBorders>
            <w:vAlign w:val="center"/>
          </w:tcPr>
          <w:p>
            <w:pPr>
              <w:pStyle w:val="Normal"/>
              <w:rPr/>
            </w:pPr>
            <w:r>
              <w:rPr/>
            </w:r>
          </w:p>
        </w:tc>
        <w:tc>
          <w:tcPr>
            <w:tcW w:w="4797" w:type="dxa"/>
            <w:vMerge w:val="continue"/>
            <w:tcBorders>
              <w:left w:val="single" w:sz="4" w:space="0" w:color="000000"/>
              <w:bottom w:val="single" w:sz="4" w:space="0" w:color="000000"/>
              <w:right w:val="single" w:sz="4" w:space="0" w:color="000000"/>
            </w:tcBorders>
            <w:vAlign w:val="center"/>
          </w:tcPr>
          <w:p>
            <w:pPr>
              <w:pStyle w:val="Normal"/>
              <w:rPr/>
            </w:pPr>
            <w:r>
              <w:rPr/>
            </w:r>
          </w:p>
        </w:tc>
        <w:tc>
          <w:tcPr>
            <w:tcW w:w="2410" w:type="dxa"/>
            <w:tcBorders>
              <w:bottom w:val="single" w:sz="4" w:space="0" w:color="000000"/>
              <w:right w:val="single" w:sz="4" w:space="0" w:color="000000"/>
            </w:tcBorders>
            <w:vAlign w:val="center"/>
          </w:tcPr>
          <w:p>
            <w:pPr>
              <w:pStyle w:val="Normal"/>
              <w:rPr/>
            </w:pPr>
            <w:r>
              <w:rPr/>
              <w:t>Trưởng Ban Công tác Mặt trận</w:t>
            </w:r>
          </w:p>
        </w:tc>
        <w:tc>
          <w:tcPr>
            <w:tcW w:w="1559" w:type="dxa"/>
            <w:tcBorders>
              <w:bottom w:val="single" w:sz="4" w:space="0" w:color="000000"/>
              <w:right w:val="single" w:sz="4" w:space="0" w:color="000000"/>
            </w:tcBorders>
            <w:vAlign w:val="center"/>
          </w:tcPr>
          <w:p>
            <w:pPr>
              <w:pStyle w:val="Normal"/>
              <w:jc w:val="center"/>
              <w:rPr/>
            </w:pPr>
            <w:r>
              <w:rPr/>
              <w:t>2,2</w:t>
            </w:r>
          </w:p>
        </w:tc>
      </w:tr>
    </w:tbl>
    <w:p>
      <w:pPr>
        <w:sectPr>
          <w:headerReference w:type="default" r:id="rId5"/>
          <w:headerReference w:type="first" r:id="rId6"/>
          <w:footnotePr>
            <w:numFmt w:val="decimal"/>
          </w:footnotePr>
          <w:type w:val="nextPage"/>
          <w:pgSz w:w="11906" w:h="16838"/>
          <w:pgMar w:left="1701" w:right="1134" w:gutter="0" w:header="720" w:top="1134" w:footer="0" w:bottom="1134"/>
          <w:pgNumType w:start="1" w:fmt="decimal"/>
          <w:formProt w:val="false"/>
          <w:titlePg/>
          <w:textDirection w:val="lrTb"/>
          <w:docGrid w:type="default" w:linePitch="381" w:charSpace="0"/>
        </w:sectPr>
      </w:pPr>
    </w:p>
    <w:p>
      <w:pPr>
        <w:pStyle w:val="Normal"/>
        <w:jc w:val="center"/>
        <w:rPr>
          <w:b/>
          <w:bCs/>
          <w:lang w:val="nl-NL"/>
        </w:rPr>
      </w:pPr>
      <w:r>
        <w:rPr>
          <w:b/>
          <w:bCs/>
          <w:lang w:val="nl-NL"/>
        </w:rPr>
        <w:t>Phụ lục II</w:t>
      </w:r>
    </w:p>
    <w:p>
      <w:pPr>
        <w:pStyle w:val="Normal"/>
        <w:jc w:val="center"/>
        <w:rPr>
          <w:b/>
          <w:bCs/>
          <w:lang w:val="nl-NL"/>
        </w:rPr>
      </w:pPr>
      <w:r>
        <w:rPr>
          <w:b/>
          <w:bCs/>
          <w:lang w:val="nl-NL"/>
        </w:rPr>
        <w:t>MỨC HỖ TRỢ CỦA NGƯỜI THAM GIA CÔNG TÁC</w:t>
      </w:r>
    </w:p>
    <w:p>
      <w:pPr>
        <w:pStyle w:val="Normal"/>
        <w:jc w:val="center"/>
        <w:rPr>
          <w:b/>
          <w:bCs/>
          <w:lang w:val="nl-NL"/>
        </w:rPr>
      </w:pPr>
      <w:r>
        <w:rPr>
          <w:b/>
          <w:bCs/>
          <w:lang w:val="nl-NL"/>
        </w:rPr>
        <w:t xml:space="preserve"> </w:t>
      </w:r>
      <w:r>
        <w:rPr>
          <w:b/>
          <w:bCs/>
          <w:lang w:val="nl-NL"/>
        </w:rPr>
        <w:t>TẠI THÔN, TỔ DÂN PHỐ</w:t>
      </w:r>
    </w:p>
    <w:p>
      <w:pPr>
        <w:pStyle w:val="Normal"/>
        <w:jc w:val="center"/>
        <w:rPr>
          <w:bCs/>
          <w:i/>
          <w:lang w:val="nl-NL"/>
        </w:rPr>
      </w:pPr>
      <w:r>
        <w:rPr>
          <w:bCs/>
          <w:i/>
          <w:lang w:val="nl-NL"/>
        </w:rPr>
        <w:t>(Ban hành kèm theo Nghị quyết số            /2026/NQ-HĐND</w:t>
      </w:r>
    </w:p>
    <w:p>
      <w:pPr>
        <w:pStyle w:val="Normal"/>
        <w:jc w:val="center"/>
        <w:rPr>
          <w:bCs/>
          <w:i/>
          <w:lang w:val="nl-NL"/>
        </w:rPr>
      </w:pPr>
      <w:r>
        <w:rPr>
          <w:bCs/>
          <w:i/>
          <w:lang w:val="nl-NL"/>
        </w:rPr>
        <w:t xml:space="preserve"> </w:t>
      </w:r>
      <w:r>
        <w:rPr>
          <w:bCs/>
          <w:i/>
          <w:lang w:val="nl-NL"/>
        </w:rPr>
        <w:t>ngày       tháng 6 năm 2026 của HĐND thành phố)</w:t>
      </w:r>
    </w:p>
    <w:p>
      <w:pPr>
        <w:pStyle w:val="Normal"/>
        <w:rPr>
          <w:b/>
          <w:bCs/>
          <w:lang w:val="nl-NL"/>
        </w:rPr>
      </w:pPr>
      <w:r>
        <w:rPr>
          <w:b/>
          <w:bCs/>
          <w:lang w:val="nl-NL"/>
        </w:rPr>
      </w:r>
    </w:p>
    <w:tbl>
      <w:tblPr>
        <w:tblW w:w="8931"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591"/>
        <w:gridCol w:w="5788"/>
        <w:gridCol w:w="2552"/>
      </w:tblGrid>
      <w:tr>
        <w:trPr>
          <w:tblHeader w:val="true"/>
          <w:trHeight w:val="1002" w:hRule="atLeast"/>
        </w:trPr>
        <w:tc>
          <w:tcPr>
            <w:tcW w:w="5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
                <w:bCs/>
              </w:rPr>
            </w:pPr>
            <w:r>
              <w:rPr>
                <w:b/>
                <w:bCs/>
              </w:rPr>
              <w:t>Số</w:t>
              <w:br/>
              <w:t>TT</w:t>
            </w:r>
          </w:p>
        </w:tc>
        <w:tc>
          <w:tcPr>
            <w:tcW w:w="5788" w:type="dxa"/>
            <w:tcBorders>
              <w:top w:val="single" w:sz="4" w:space="0" w:color="000000"/>
              <w:bottom w:val="single" w:sz="4" w:space="0" w:color="000000"/>
              <w:right w:val="single" w:sz="4" w:space="0" w:color="000000"/>
            </w:tcBorders>
            <w:vAlign w:val="center"/>
          </w:tcPr>
          <w:p>
            <w:pPr>
              <w:pStyle w:val="Normal"/>
              <w:jc w:val="center"/>
              <w:rPr>
                <w:b/>
                <w:bCs/>
              </w:rPr>
            </w:pPr>
            <w:r>
              <w:rPr>
                <w:b/>
                <w:bCs/>
              </w:rPr>
              <w:t>Quy mô thôn,</w:t>
            </w:r>
          </w:p>
          <w:p>
            <w:pPr>
              <w:pStyle w:val="Normal"/>
              <w:jc w:val="center"/>
              <w:rPr>
                <w:b/>
                <w:bCs/>
              </w:rPr>
            </w:pPr>
            <w:r>
              <w:rPr>
                <w:b/>
                <w:bCs/>
              </w:rPr>
              <w:t xml:space="preserve"> </w:t>
            </w:r>
            <w:r>
              <w:rPr>
                <w:b/>
                <w:bCs/>
              </w:rPr>
              <w:t>tổ dân phố</w:t>
            </w:r>
          </w:p>
        </w:tc>
        <w:tc>
          <w:tcPr>
            <w:tcW w:w="2552" w:type="dxa"/>
            <w:tcBorders>
              <w:top w:val="single" w:sz="4" w:space="0" w:color="000000"/>
              <w:bottom w:val="single" w:sz="4" w:space="0" w:color="000000"/>
              <w:right w:val="single" w:sz="4" w:space="0" w:color="000000"/>
            </w:tcBorders>
          </w:tcPr>
          <w:p>
            <w:pPr>
              <w:pStyle w:val="Normal"/>
              <w:jc w:val="center"/>
              <w:rPr>
                <w:b/>
                <w:bCs/>
                <w:lang w:val="en-US"/>
              </w:rPr>
            </w:pPr>
            <w:r>
              <w:rPr>
                <w:b/>
                <w:bCs/>
                <w:lang w:val="en-US"/>
              </w:rPr>
              <w:t>Mức hỗ trợ hàng tháng</w:t>
            </w:r>
          </w:p>
          <w:p>
            <w:pPr>
              <w:pStyle w:val="Normal"/>
              <w:jc w:val="center"/>
              <w:rPr>
                <w:b/>
                <w:bCs/>
                <w:lang w:val="en-US"/>
              </w:rPr>
            </w:pPr>
            <w:r>
              <w:rPr>
                <w:b/>
                <w:bCs/>
                <w:lang w:val="en-US"/>
              </w:rPr>
              <w:t>(đồng/người)</w:t>
            </w:r>
          </w:p>
        </w:tc>
      </w:tr>
      <w:tr>
        <w:trPr>
          <w:trHeight w:val="507" w:hRule="atLeast"/>
        </w:trPr>
        <w:tc>
          <w:tcPr>
            <w:tcW w:w="591" w:type="dxa"/>
            <w:tcBorders>
              <w:left w:val="single" w:sz="4" w:space="0" w:color="000000"/>
              <w:bottom w:val="single" w:sz="4" w:space="0" w:color="000000"/>
              <w:right w:val="single" w:sz="4" w:space="0" w:color="000000"/>
            </w:tcBorders>
            <w:vAlign w:val="center"/>
          </w:tcPr>
          <w:p>
            <w:pPr>
              <w:pStyle w:val="Normal"/>
              <w:rPr/>
            </w:pPr>
            <w:r>
              <w:rPr/>
              <w:t>1</w:t>
            </w:r>
          </w:p>
        </w:tc>
        <w:tc>
          <w:tcPr>
            <w:tcW w:w="5788" w:type="dxa"/>
            <w:tcBorders>
              <w:left w:val="single" w:sz="4" w:space="0" w:color="000000"/>
              <w:bottom w:val="single" w:sz="4" w:space="0" w:color="000000"/>
              <w:right w:val="single" w:sz="4" w:space="0" w:color="000000"/>
            </w:tcBorders>
            <w:vAlign w:val="center"/>
          </w:tcPr>
          <w:p>
            <w:pPr>
              <w:pStyle w:val="Normal"/>
              <w:spacing w:before="120" w:after="120"/>
              <w:rPr>
                <w:lang w:val="en-US"/>
              </w:rPr>
            </w:pPr>
            <w:r>
              <w:rPr/>
              <w:t>Thôn: Dưới 300 hộ gia đình</w:t>
            </w:r>
            <w:r>
              <w:rPr>
                <w:lang w:val="en-US"/>
              </w:rPr>
              <w:t>;</w:t>
            </w:r>
            <w:r>
              <w:rPr/>
              <w:br/>
              <w:t>Tổ dân phố: Dưới 450 hộ gia đình</w:t>
            </w:r>
            <w:r>
              <w:rPr>
                <w:lang w:val="en-US"/>
              </w:rPr>
              <w:t>.</w:t>
            </w:r>
          </w:p>
        </w:tc>
        <w:tc>
          <w:tcPr>
            <w:tcW w:w="2552" w:type="dxa"/>
            <w:tcBorders>
              <w:left w:val="single" w:sz="4" w:space="0" w:color="000000"/>
              <w:bottom w:val="single" w:sz="4" w:space="0" w:color="000000"/>
              <w:right w:val="single" w:sz="4" w:space="0" w:color="000000"/>
            </w:tcBorders>
            <w:vAlign w:val="center"/>
          </w:tcPr>
          <w:p>
            <w:pPr>
              <w:pStyle w:val="Normal"/>
              <w:jc w:val="center"/>
              <w:rPr/>
            </w:pPr>
            <w:r>
              <w:rPr>
                <w:bCs/>
                <w:spacing w:val="2"/>
              </w:rPr>
              <w:t>1.000.000</w:t>
            </w:r>
          </w:p>
        </w:tc>
      </w:tr>
      <w:tr>
        <w:trPr>
          <w:trHeight w:val="507" w:hRule="atLeast"/>
        </w:trPr>
        <w:tc>
          <w:tcPr>
            <w:tcW w:w="591" w:type="dxa"/>
            <w:tcBorders>
              <w:left w:val="single" w:sz="4" w:space="0" w:color="000000"/>
              <w:bottom w:val="single" w:sz="4" w:space="0" w:color="000000"/>
              <w:right w:val="single" w:sz="4" w:space="0" w:color="000000"/>
            </w:tcBorders>
            <w:vAlign w:val="center"/>
          </w:tcPr>
          <w:p>
            <w:pPr>
              <w:pStyle w:val="Normal"/>
              <w:rPr>
                <w:lang w:val="en-US"/>
              </w:rPr>
            </w:pPr>
            <w:r>
              <w:rPr>
                <w:lang w:val="en-US"/>
              </w:rPr>
              <w:t>2</w:t>
            </w:r>
          </w:p>
        </w:tc>
        <w:tc>
          <w:tcPr>
            <w:tcW w:w="5788" w:type="dxa"/>
            <w:tcBorders>
              <w:left w:val="single" w:sz="4" w:space="0" w:color="000000"/>
              <w:bottom w:val="single" w:sz="4" w:space="0" w:color="000000"/>
              <w:right w:val="single" w:sz="4" w:space="0" w:color="000000"/>
            </w:tcBorders>
            <w:vAlign w:val="center"/>
          </w:tcPr>
          <w:p>
            <w:pPr>
              <w:pStyle w:val="Normal"/>
              <w:spacing w:before="120" w:after="120"/>
              <w:rPr>
                <w:lang w:val="en-US"/>
              </w:rPr>
            </w:pPr>
            <w:r>
              <w:rPr/>
              <w:t>Thôn: Từ 300 đến dưới 700 hộ gia đình</w:t>
            </w:r>
            <w:r>
              <w:rPr>
                <w:lang w:val="en-US"/>
              </w:rPr>
              <w:t>;</w:t>
            </w:r>
            <w:r>
              <w:rPr/>
              <w:br/>
              <w:t>Tổ dân phố: Từ 450 đến dưới 1.000 hộ gia đình</w:t>
            </w:r>
            <w:r>
              <w:rPr>
                <w:lang w:val="en-US"/>
              </w:rPr>
              <w:t>.</w:t>
            </w:r>
          </w:p>
        </w:tc>
        <w:tc>
          <w:tcPr>
            <w:tcW w:w="2552" w:type="dxa"/>
            <w:tcBorders>
              <w:left w:val="single" w:sz="4" w:space="0" w:color="000000"/>
              <w:bottom w:val="single" w:sz="4" w:space="0" w:color="000000"/>
              <w:right w:val="single" w:sz="4" w:space="0" w:color="000000"/>
            </w:tcBorders>
            <w:vAlign w:val="center"/>
          </w:tcPr>
          <w:p>
            <w:pPr>
              <w:pStyle w:val="Normal"/>
              <w:jc w:val="center"/>
              <w:rPr/>
            </w:pPr>
            <w:r>
              <w:rPr>
                <w:bCs/>
                <w:spacing w:val="2"/>
              </w:rPr>
              <w:t>1.200.000</w:t>
            </w:r>
          </w:p>
        </w:tc>
      </w:tr>
      <w:tr>
        <w:trPr>
          <w:trHeight w:val="507" w:hRule="atLeast"/>
        </w:trPr>
        <w:tc>
          <w:tcPr>
            <w:tcW w:w="591" w:type="dxa"/>
            <w:tcBorders>
              <w:left w:val="single" w:sz="4" w:space="0" w:color="000000"/>
              <w:bottom w:val="single" w:sz="4" w:space="0" w:color="000000"/>
              <w:right w:val="single" w:sz="4" w:space="0" w:color="000000"/>
            </w:tcBorders>
            <w:vAlign w:val="center"/>
          </w:tcPr>
          <w:p>
            <w:pPr>
              <w:pStyle w:val="Normal"/>
              <w:rPr>
                <w:lang w:val="en-US"/>
              </w:rPr>
            </w:pPr>
            <w:r>
              <w:rPr>
                <w:lang w:val="en-US"/>
              </w:rPr>
              <w:t>3</w:t>
            </w:r>
          </w:p>
        </w:tc>
        <w:tc>
          <w:tcPr>
            <w:tcW w:w="5788" w:type="dxa"/>
            <w:tcBorders>
              <w:left w:val="single" w:sz="4" w:space="0" w:color="000000"/>
              <w:bottom w:val="single" w:sz="4" w:space="0" w:color="000000"/>
              <w:right w:val="single" w:sz="4" w:space="0" w:color="000000"/>
            </w:tcBorders>
            <w:vAlign w:val="center"/>
          </w:tcPr>
          <w:p>
            <w:pPr>
              <w:pStyle w:val="Normal"/>
              <w:spacing w:before="120" w:after="120"/>
              <w:jc w:val="both"/>
              <w:rPr>
                <w:lang w:val="en-US"/>
              </w:rPr>
            </w:pPr>
            <w:r>
              <w:rPr/>
              <w:t>Thôn: Từ 700 hộ gia đình trở lên</w:t>
            </w:r>
            <w:r>
              <w:rPr>
                <w:lang w:val="en-US"/>
              </w:rPr>
              <w:t>;</w:t>
            </w:r>
          </w:p>
          <w:p>
            <w:pPr>
              <w:pStyle w:val="Normal"/>
              <w:spacing w:before="120" w:after="120"/>
              <w:jc w:val="both"/>
              <w:rPr>
                <w:lang w:val="en-US"/>
              </w:rPr>
            </w:pPr>
            <w:r>
              <w:rPr/>
              <w:t>Tổ dân phố: Từ 1.000 hộ gia đình trở lên</w:t>
            </w:r>
            <w:r>
              <w:rPr>
                <w:lang w:val="en-US"/>
              </w:rPr>
              <w:t>.</w:t>
            </w:r>
          </w:p>
          <w:p>
            <w:pPr>
              <w:pStyle w:val="Normal"/>
              <w:spacing w:before="120" w:after="120"/>
              <w:jc w:val="both"/>
              <w:rPr>
                <w:lang w:val="en-US"/>
              </w:rPr>
            </w:pPr>
            <w:r>
              <w:rPr/>
              <w:t>Thôn, tổ dân phố thuộc đơn vị hành chính cấp xã trọng điểm về quốc phòng theo quyết định của cơ quan có thẩm quyền; thôn, tổ dân phố thuộc đơn vị hành chính cấp xã ở khu vực biên giới, hải đảo, thôn đặc biệt khó khăn</w:t>
            </w:r>
            <w:r>
              <w:rPr>
                <w:lang w:val="en-US"/>
              </w:rPr>
              <w:t>.</w:t>
            </w:r>
          </w:p>
        </w:tc>
        <w:tc>
          <w:tcPr>
            <w:tcW w:w="2552" w:type="dxa"/>
            <w:tcBorders>
              <w:left w:val="single" w:sz="4" w:space="0" w:color="000000"/>
              <w:bottom w:val="single" w:sz="4" w:space="0" w:color="000000"/>
              <w:right w:val="single" w:sz="4" w:space="0" w:color="000000"/>
            </w:tcBorders>
            <w:vAlign w:val="center"/>
          </w:tcPr>
          <w:p>
            <w:pPr>
              <w:pStyle w:val="Normal"/>
              <w:jc w:val="center"/>
              <w:rPr/>
            </w:pPr>
            <w:r>
              <w:rPr>
                <w:bCs/>
                <w:spacing w:val="2"/>
              </w:rPr>
              <w:t>1.500.000</w:t>
            </w:r>
          </w:p>
        </w:tc>
      </w:tr>
    </w:tbl>
    <w:p>
      <w:pPr>
        <w:pStyle w:val="Normal"/>
        <w:rPr>
          <w:b/>
          <w:bCs/>
          <w:lang w:val="nl-NL"/>
        </w:rPr>
      </w:pPr>
      <w:r>
        <w:rPr>
          <w:b/>
          <w:bCs/>
          <w:lang w:val="nl-NL"/>
        </w:rPr>
      </w:r>
    </w:p>
    <w:sectPr>
      <w:headerReference w:type="default" r:id="rId7"/>
      <w:headerReference w:type="first" r:id="rId8"/>
      <w:footnotePr>
        <w:numFmt w:val="decimal"/>
      </w:footnotePr>
      <w:type w:val="nextPage"/>
      <w:pgSz w:w="11906" w:h="16838"/>
      <w:pgMar w:left="1701" w:right="1134" w:gutter="0" w:header="720" w:top="1134" w:footer="0" w:bottom="1134"/>
      <w:pgNumType w:start="1"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swiss"/>
    <w:pitch w:val="variable"/>
  </w:font>
  <w:font w:name="Liberation Sans">
    <w:altName w:val="Arial"/>
    <w:charset w:val="00"/>
    <w:family w:val="swiss"/>
    <w:pitch w:val="variable"/>
  </w:font>
  <w:font w:name="Calibri">
    <w:charset w:val="00"/>
    <w:family w:val="roman"/>
    <w:pitch w:val="variable"/>
  </w:font>
  <w:font w:name="Times New Roman Bold">
    <w:charset w:val="00"/>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FootnoteCharacters"/>
        </w:rPr>
        <w:footnoteRef/>
      </w:r>
      <w:r>
        <w:rPr/>
        <w:t xml:space="preserve"> </w:t>
      </w:r>
      <w:r>
        <w:rPr/>
        <w:t>Hệ số so với mức lương cơ sở</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29014821"/>
      <w:docPartObj>
        <w:docPartGallery w:val="Page Numbers (Top of Page)"/>
        <w:docPartUnique w:val="true"/>
      </w:docPartObj>
    </w:sdtPr>
    <w:sdtContent>
      <w:p>
        <w:pPr>
          <w:pStyle w:val="Header"/>
          <w:jc w:val="center"/>
          <w:rPr>
            <w:sz w:val="26"/>
            <w:szCs w:val="26"/>
          </w:rPr>
        </w:pPr>
        <w:r>
          <w:rPr>
            <w:sz w:val="26"/>
            <w:szCs w:val="26"/>
          </w:rPr>
          <w:fldChar w:fldCharType="begin"/>
        </w:r>
        <w:r>
          <w:rPr>
            <w:sz w:val="26"/>
            <w:szCs w:val="26"/>
          </w:rPr>
          <w:instrText xml:space="preserve"> PAGE </w:instrText>
        </w:r>
        <w:r>
          <w:rPr>
            <w:sz w:val="26"/>
            <w:szCs w:val="26"/>
          </w:rPr>
          <w:fldChar w:fldCharType="separate"/>
        </w:r>
        <w:r>
          <w:rPr>
            <w:sz w:val="26"/>
            <w:szCs w:val="26"/>
          </w:rPr>
          <w:t>5</w:t>
        </w:r>
        <w:r>
          <w:rPr>
            <w:sz w:val="26"/>
            <w:szCs w:val="26"/>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29014821"/>
      <w:docPartObj>
        <w:docPartGallery w:val="Page Numbers (Top of Page)"/>
        <w:docPartUnique w:val="true"/>
      </w:docPartObj>
    </w:sdtPr>
    <w:sdtContent>
      <w:p>
        <w:pPr>
          <w:pStyle w:val="Header"/>
          <w:jc w:val="center"/>
          <w:rPr>
            <w:sz w:val="26"/>
            <w:szCs w:val="26"/>
          </w:rPr>
        </w:pPr>
        <w:r>
          <w:rPr>
            <w:sz w:val="26"/>
            <w:szCs w:val="26"/>
          </w:rPr>
          <w:fldChar w:fldCharType="begin"/>
        </w:r>
        <w:r>
          <w:rPr>
            <w:sz w:val="26"/>
            <w:szCs w:val="26"/>
          </w:rPr>
          <w:instrText xml:space="preserve"> PAGE </w:instrText>
        </w:r>
        <w:r>
          <w:rPr>
            <w:sz w:val="26"/>
            <w:szCs w:val="26"/>
          </w:rPr>
          <w:fldChar w:fldCharType="separate"/>
        </w:r>
        <w:r>
          <w:rPr>
            <w:sz w:val="26"/>
            <w:szCs w:val="26"/>
          </w:rPr>
          <w:t>0</w:t>
        </w:r>
        <w:r>
          <w:rPr>
            <w:sz w:val="26"/>
            <w:szCs w:val="26"/>
          </w:rPr>
          <w:fldChar w:fldCharType="end"/>
        </w:r>
      </w:p>
    </w:sdtContent>
  </w:sdt>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29014821"/>
      <w:docPartObj>
        <w:docPartGallery w:val="Page Numbers (Top of Page)"/>
        <w:docPartUnique w:val="true"/>
      </w:docPartObj>
    </w:sdtPr>
    <w:sdtContent>
      <w:p>
        <w:pPr>
          <w:pStyle w:val="Header"/>
          <w:jc w:val="center"/>
          <w:rPr>
            <w:sz w:val="26"/>
            <w:szCs w:val="26"/>
          </w:rPr>
        </w:pPr>
        <w:r>
          <w:rPr>
            <w:sz w:val="26"/>
            <w:szCs w:val="26"/>
          </w:rPr>
          <w:fldChar w:fldCharType="begin"/>
        </w:r>
        <w:r>
          <w:rPr>
            <w:sz w:val="26"/>
            <w:szCs w:val="26"/>
          </w:rPr>
          <w:instrText xml:space="preserve"> PAGE </w:instrText>
        </w:r>
        <w:r>
          <w:rPr>
            <w:sz w:val="26"/>
            <w:szCs w:val="26"/>
          </w:rPr>
          <w:fldChar w:fldCharType="separate"/>
        </w:r>
        <w:r>
          <w:rPr>
            <w:sz w:val="26"/>
            <w:szCs w:val="26"/>
          </w:rPr>
          <w:t>0</w:t>
        </w:r>
        <w:r>
          <w:rPr>
            <w:sz w:val="26"/>
            <w:szCs w:val="26"/>
          </w:rPr>
          <w:fldChar w:fldCharType="end"/>
        </w:r>
      </w:p>
    </w:sdtContent>
  </w:sdt>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20"/>
  <w:autoHyphenation w:val="true"/>
  <w:hyphenationZone w:val="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kern w:val="2"/>
        <w:sz w:val="24"/>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c56bd"/>
    <w:pPr>
      <w:widowControl/>
      <w:bidi w:val="0"/>
      <w:spacing w:lineRule="auto" w:line="240" w:before="0" w:after="0"/>
      <w:jc w:val="left"/>
    </w:pPr>
    <w:rPr>
      <w:rFonts w:eastAsia="Times New Roman" w:cs="Times New Roman" w:ascii="Times New Roman" w:hAnsi="Times New Roman"/>
      <w:color w:val="auto"/>
      <w:kern w:val="0"/>
      <w:sz w:val="28"/>
      <w:szCs w:val="28"/>
      <w:lang w:val="vi-VN" w:eastAsia="en-US" w:bidi="ar-SA"/>
      <w14:ligatures w14:val="standardContextual"/>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492de5"/>
    <w:rPr>
      <w:rFonts w:eastAsia="Times New Roman" w:cs="Times New Roman"/>
      <w:kern w:val="0"/>
      <w:sz w:val="28"/>
      <w:szCs w:val="28"/>
      <w:lang w:val="vi-VN"/>
    </w:rPr>
  </w:style>
  <w:style w:type="character" w:styleId="FooterChar" w:customStyle="1">
    <w:name w:val="Footer Char"/>
    <w:basedOn w:val="DefaultParagraphFont"/>
    <w:link w:val="Footer"/>
    <w:uiPriority w:val="99"/>
    <w:qFormat/>
    <w:rsid w:val="00492de5"/>
    <w:rPr>
      <w:rFonts w:eastAsia="Times New Roman" w:cs="Times New Roman"/>
      <w:kern w:val="0"/>
      <w:sz w:val="28"/>
      <w:szCs w:val="28"/>
      <w:lang w:val="vi-VN"/>
    </w:rPr>
  </w:style>
  <w:style w:type="character" w:styleId="NormalWebChar" w:customStyle="1">
    <w:name w:val="Normal (Web) Char"/>
    <w:link w:val="NormalWeb"/>
    <w:uiPriority w:val="99"/>
    <w:qFormat/>
    <w:locked/>
    <w:rsid w:val="00ea0e93"/>
    <w:rPr>
      <w:rFonts w:eastAsia="Times New Roman" w:cs="Times New Roman"/>
      <w:kern w:val="0"/>
      <w:szCs w:val="24"/>
    </w:rPr>
  </w:style>
  <w:style w:type="character" w:styleId="Strong">
    <w:name w:val="Strong"/>
    <w:basedOn w:val="DefaultParagraphFont"/>
    <w:uiPriority w:val="22"/>
    <w:qFormat/>
    <w:rsid w:val="00ea0e93"/>
    <w:rPr>
      <w:b/>
      <w:bCs/>
    </w:rPr>
  </w:style>
  <w:style w:type="character" w:styleId="FootnoteTextChar" w:customStyle="1">
    <w:name w:val="Footnote Text Char"/>
    <w:basedOn w:val="DefaultParagraphFont"/>
    <w:link w:val="FootnoteText"/>
    <w:uiPriority w:val="99"/>
    <w:qFormat/>
    <w:rsid w:val="0036216b"/>
    <w:rPr>
      <w:rFonts w:eastAsia="Times New Roman" w:cs="Times New Roman"/>
      <w:kern w:val="0"/>
      <w:sz w:val="20"/>
      <w:szCs w:val="20"/>
      <w:lang w:val="vi-VN"/>
    </w:rPr>
  </w:style>
  <w:style w:type="character" w:styleId="FootnoteCharacters">
    <w:name w:val="Footnote Characters"/>
    <w:basedOn w:val="DefaultParagraphFont"/>
    <w:link w:val="CarattereCarattereCharCharCharCharCharCharZchn"/>
    <w:uiPriority w:val="99"/>
    <w:unhideWhenUsed/>
    <w:qFormat/>
    <w:rsid w:val="0036216b"/>
    <w:rPr>
      <w:vertAlign w:val="superscript"/>
    </w:rPr>
  </w:style>
  <w:style w:type="character" w:styleId="FootnoteReference">
    <w:name w:val="footnote reference"/>
    <w:rPr>
      <w:vertAlign w:val="superscript"/>
    </w:rPr>
  </w:style>
  <w:style w:type="character" w:styleId="Hyperlink">
    <w:name w:val="Hyperlink"/>
    <w:uiPriority w:val="99"/>
    <w:unhideWhenUsed/>
    <w:rsid w:val="008f758d"/>
    <w:rPr>
      <w:color w:val="0000FF"/>
      <w:u w:val="single"/>
    </w:rPr>
  </w:style>
  <w:style w:type="character" w:styleId="Emphasis">
    <w:name w:val="Emphasis"/>
    <w:uiPriority w:val="20"/>
    <w:qFormat/>
    <w:rsid w:val="000920e8"/>
    <w:rPr>
      <w:i/>
      <w:iCs/>
    </w:rPr>
  </w:style>
  <w:style w:type="character" w:styleId="UnresolvedMention1" w:customStyle="1">
    <w:name w:val="Unresolved Mention1"/>
    <w:basedOn w:val="DefaultParagraphFont"/>
    <w:uiPriority w:val="99"/>
    <w:semiHidden/>
    <w:unhideWhenUsed/>
    <w:qFormat/>
    <w:rsid w:val="00e00726"/>
    <w:rPr>
      <w:color w:val="605E5C"/>
      <w:shd w:fill="E1DFDD" w:val="clear"/>
    </w:rPr>
  </w:style>
  <w:style w:type="character" w:styleId="CommentReference">
    <w:name w:val="annotation reference"/>
    <w:basedOn w:val="DefaultParagraphFont"/>
    <w:uiPriority w:val="99"/>
    <w:semiHidden/>
    <w:unhideWhenUsed/>
    <w:qFormat/>
    <w:rsid w:val="009f6127"/>
    <w:rPr>
      <w:sz w:val="16"/>
      <w:szCs w:val="16"/>
    </w:rPr>
  </w:style>
  <w:style w:type="character" w:styleId="CommentTextChar" w:customStyle="1">
    <w:name w:val="Comment Text Char"/>
    <w:basedOn w:val="DefaultParagraphFont"/>
    <w:link w:val="CommentText"/>
    <w:uiPriority w:val="99"/>
    <w:semiHidden/>
    <w:qFormat/>
    <w:rsid w:val="009f6127"/>
    <w:rPr>
      <w:rFonts w:eastAsia="Times New Roman" w:cs="Times New Roman"/>
      <w:kern w:val="0"/>
      <w:sz w:val="20"/>
      <w:szCs w:val="20"/>
      <w:lang w:val="vi-VN"/>
    </w:rPr>
  </w:style>
  <w:style w:type="character" w:styleId="CommentSubjectChar" w:customStyle="1">
    <w:name w:val="Comment Subject Char"/>
    <w:basedOn w:val="CommentTextChar"/>
    <w:link w:val="annotationsubject"/>
    <w:uiPriority w:val="99"/>
    <w:semiHidden/>
    <w:qFormat/>
    <w:rsid w:val="009f6127"/>
    <w:rPr>
      <w:rFonts w:eastAsia="Times New Roman" w:cs="Times New Roman"/>
      <w:b/>
      <w:bCs/>
      <w:kern w:val="0"/>
      <w:sz w:val="20"/>
      <w:szCs w:val="20"/>
      <w:lang w:val="vi-VN"/>
    </w:rPr>
  </w:style>
  <w:style w:type="character" w:styleId="BalloonTextChar" w:customStyle="1">
    <w:name w:val="Balloon Text Char"/>
    <w:basedOn w:val="DefaultParagraphFont"/>
    <w:link w:val="BalloonText"/>
    <w:uiPriority w:val="99"/>
    <w:semiHidden/>
    <w:qFormat/>
    <w:rsid w:val="002c7a29"/>
    <w:rPr>
      <w:rFonts w:ascii="Segoe UI" w:hAnsi="Segoe UI" w:eastAsia="Times New Roman" w:cs="Segoe UI"/>
      <w:kern w:val="0"/>
      <w:sz w:val="18"/>
      <w:szCs w:val="18"/>
      <w:lang w:val="vi-VN"/>
    </w:rPr>
  </w:style>
  <w:style w:type="character" w:styleId="BodyTextChar" w:customStyle="1">
    <w:name w:val="Body Text Char"/>
    <w:basedOn w:val="DefaultParagraphFont"/>
    <w:qFormat/>
    <w:rsid w:val="009e4e59"/>
    <w:rPr>
      <w:rFonts w:eastAsia="Times New Roman" w:cs="Times New Roman"/>
      <w:kern w:val="0"/>
      <w:szCs w:val="24"/>
      <w14:ligatures w14:val="none"/>
    </w:rPr>
  </w:style>
  <w:style w:type="character" w:styleId="UnresolvedMention2" w:customStyle="1">
    <w:name w:val="Unresolved Mention2"/>
    <w:basedOn w:val="DefaultParagraphFont"/>
    <w:uiPriority w:val="99"/>
    <w:semiHidden/>
    <w:unhideWhenUsed/>
    <w:qFormat/>
    <w:rsid w:val="0095089e"/>
    <w:rPr>
      <w:color w:val="605E5C"/>
      <w:shd w:fill="E1DFDD" w:val="clear"/>
    </w:rPr>
  </w:style>
  <w:style w:type="character" w:styleId="fontstyle01" w:customStyle="1">
    <w:name w:val="fontstyle01"/>
    <w:qFormat/>
    <w:rsid w:val="00652fd8"/>
    <w:rPr>
      <w:rFonts w:ascii="Times New Roman" w:hAnsi="Times New Roman" w:cs="Times New Roman"/>
      <w:b w:val="false"/>
      <w:bCs w:val="false"/>
      <w:i w:val="false"/>
      <w:iCs w:val="false"/>
      <w:color w:val="000000"/>
      <w:sz w:val="28"/>
      <w:szCs w:val="28"/>
    </w:rPr>
  </w:style>
  <w:style w:type="character" w:styleId="NormalWebChar1" w:customStyle="1">
    <w:name w:val="Normal (Web) Char1"/>
    <w:uiPriority w:val="99"/>
    <w:qFormat/>
    <w:locked/>
    <w:rsid w:val="005a0a74"/>
    <w:rPr>
      <w:rFonts w:ascii="Times New Roman" w:hAnsi="Times New Roman" w:eastAsia="Times New Roman" w:cs="Times New Roman"/>
      <w:sz w:val="24"/>
      <w:szCs w:val="24"/>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rsid w:val="009e4e59"/>
    <w:pPr>
      <w:jc w:val="both"/>
    </w:pPr>
    <w:rPr>
      <w:sz w:val="24"/>
      <w:szCs w:val="24"/>
      <w:lang w:val="en-US"/>
      <w14:ligatures w14:val="none"/>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link w:val="NormalWebChar"/>
    <w:uiPriority w:val="99"/>
    <w:unhideWhenUsed/>
    <w:qFormat/>
    <w:rsid w:val="003c56bd"/>
    <w:pPr>
      <w:spacing w:beforeAutospacing="1" w:afterAutospacing="1"/>
    </w:pPr>
    <w:rPr>
      <w:sz w:val="24"/>
      <w:szCs w:val="24"/>
      <w:lang w:val="en-US"/>
    </w:rPr>
  </w:style>
  <w:style w:type="paragraph" w:styleId="HeaderandFooter">
    <w:name w:val="Header and Footer"/>
    <w:basedOn w:val="Normal"/>
    <w:qFormat/>
    <w:pPr/>
    <w:rPr/>
  </w:style>
  <w:style w:type="paragraph" w:styleId="Header">
    <w:name w:val="header"/>
    <w:basedOn w:val="Normal"/>
    <w:link w:val="HeaderChar"/>
    <w:uiPriority w:val="99"/>
    <w:unhideWhenUsed/>
    <w:rsid w:val="00492de5"/>
    <w:pPr>
      <w:tabs>
        <w:tab w:val="clear" w:pos="720"/>
        <w:tab w:val="center" w:pos="4680" w:leader="none"/>
        <w:tab w:val="right" w:pos="9360" w:leader="none"/>
      </w:tabs>
    </w:pPr>
    <w:rPr/>
  </w:style>
  <w:style w:type="paragraph" w:styleId="Footer">
    <w:name w:val="footer"/>
    <w:basedOn w:val="Normal"/>
    <w:link w:val="FooterChar"/>
    <w:uiPriority w:val="99"/>
    <w:unhideWhenUsed/>
    <w:rsid w:val="00492de5"/>
    <w:pPr>
      <w:tabs>
        <w:tab w:val="clear" w:pos="720"/>
        <w:tab w:val="center" w:pos="4680" w:leader="none"/>
        <w:tab w:val="right" w:pos="9360" w:leader="none"/>
      </w:tabs>
    </w:pPr>
    <w:rPr/>
  </w:style>
  <w:style w:type="paragraph" w:styleId="ListParagraph">
    <w:name w:val="List Paragraph"/>
    <w:basedOn w:val="Normal"/>
    <w:uiPriority w:val="34"/>
    <w:qFormat/>
    <w:rsid w:val="00eb58e4"/>
    <w:pPr>
      <w:spacing w:before="0" w:after="0"/>
      <w:ind w:left="720"/>
      <w:contextualSpacing/>
    </w:pPr>
    <w:rPr/>
  </w:style>
  <w:style w:type="paragraph" w:styleId="FootnoteText">
    <w:name w:val="footnote text"/>
    <w:basedOn w:val="Normal"/>
    <w:link w:val="FootnoteTextChar"/>
    <w:uiPriority w:val="99"/>
    <w:unhideWhenUsed/>
    <w:qFormat/>
    <w:rsid w:val="0036216b"/>
    <w:pPr/>
    <w:rPr>
      <w:sz w:val="20"/>
      <w:szCs w:val="20"/>
    </w:rPr>
  </w:style>
  <w:style w:type="paragraph" w:styleId="CommentText">
    <w:name w:val="annotation text"/>
    <w:basedOn w:val="Normal"/>
    <w:link w:val="CommentTextChar"/>
    <w:uiPriority w:val="99"/>
    <w:semiHidden/>
    <w:unhideWhenUsed/>
    <w:rsid w:val="009f6127"/>
    <w:pPr/>
    <w:rPr>
      <w:sz w:val="20"/>
      <w:szCs w:val="20"/>
    </w:rPr>
  </w:style>
  <w:style w:type="paragraph" w:styleId="annotationsubject">
    <w:name w:val="annotation subject"/>
    <w:basedOn w:val="CommentText"/>
    <w:next w:val="CommentText"/>
    <w:link w:val="CommentSubjectChar"/>
    <w:uiPriority w:val="99"/>
    <w:semiHidden/>
    <w:unhideWhenUsed/>
    <w:qFormat/>
    <w:rsid w:val="009f6127"/>
    <w:pPr/>
    <w:rPr>
      <w:b/>
      <w:bCs/>
    </w:rPr>
  </w:style>
  <w:style w:type="paragraph" w:styleId="BalloonText">
    <w:name w:val="Balloon Text"/>
    <w:basedOn w:val="Normal"/>
    <w:link w:val="BalloonTextChar"/>
    <w:uiPriority w:val="99"/>
    <w:semiHidden/>
    <w:unhideWhenUsed/>
    <w:qFormat/>
    <w:rsid w:val="002c7a29"/>
    <w:pPr/>
    <w:rPr>
      <w:rFonts w:ascii="Segoe UI" w:hAnsi="Segoe UI" w:cs="Segoe UI"/>
      <w:sz w:val="18"/>
      <w:szCs w:val="18"/>
    </w:rPr>
  </w:style>
  <w:style w:type="paragraph" w:styleId="CarattereCarattereCharCharCharCharCharCharZchn" w:customStyle="1">
    <w:name w:val="Carattere Carattere Char Char Char Char Char Char Zchn"/>
    <w:basedOn w:val="Normal"/>
    <w:next w:val="Normal"/>
    <w:uiPriority w:val="99"/>
    <w:qFormat/>
    <w:rsid w:val="00d3559a"/>
    <w:pPr>
      <w:spacing w:lineRule="exact" w:line="240" w:before="0" w:after="160"/>
    </w:pPr>
    <w:rPr>
      <w:rFonts w:eastAsia="Calibri" w:cs="" w:cstheme="minorBidi" w:eastAsiaTheme="minorHAnsi"/>
      <w:kern w:val="2"/>
      <w:sz w:val="24"/>
      <w:szCs w:val="22"/>
      <w:vertAlign w:val="superscript"/>
      <w:lang w:val="en-US"/>
    </w:rPr>
  </w:style>
  <w:style w:type="paragraph" w:styleId="BVIfnrCarCar" w:customStyle="1">
    <w:name w:val="BVI fnr Car Car"/>
    <w:basedOn w:val="Normal"/>
    <w:uiPriority w:val="99"/>
    <w:qFormat/>
    <w:rsid w:val="00516c06"/>
    <w:pPr>
      <w:spacing w:lineRule="exact" w:line="240" w:before="0" w:after="160"/>
    </w:pPr>
    <w:rPr>
      <w:rFonts w:ascii="Calibri" w:hAnsi="Calibri" w:eastAsia="Calibri" w:cs="" w:asciiTheme="minorHAnsi" w:cstheme="minorBidi" w:eastAsiaTheme="minorHAnsi" w:hAnsiTheme="minorHAnsi"/>
      <w:sz w:val="22"/>
      <w:szCs w:val="22"/>
      <w:vertAlign w:val="superscript"/>
      <w:lang w:val="en-US"/>
      <w14:ligatures w14:val="none"/>
    </w:rPr>
  </w:style>
  <w:style w:type="paragraph" w:styleId="FrameContents">
    <w:name w:val="Frame Contents"/>
    <w:basedOn w:val="Normal"/>
    <w:qFormat/>
    <w:pPr/>
    <w:rPr/>
  </w:style>
  <w:style w:type="paragraph" w:styleId="HeaderLeft">
    <w:name w:val="Header Left"/>
    <w:basedOn w:val="Header"/>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e42c3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header" Target="header7.xml"/><Relationship Id="rId9" Type="http://schemas.openxmlformats.org/officeDocument/2006/relationships/footnotes" Target="footnotes.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4A068-5F42-448D-A7F5-C5F437EC49C8}">
  <ds:schemaRefs>
    <ds:schemaRef ds:uri="http://schemas.microsoft.com/sharepoint/v3/contenttype/forms"/>
  </ds:schemaRefs>
</ds:datastoreItem>
</file>

<file path=customXml/itemProps2.xml><?xml version="1.0" encoding="utf-8"?>
<ds:datastoreItem xmlns:ds="http://schemas.openxmlformats.org/officeDocument/2006/customXml" ds:itemID="{DB4F807D-A54C-4062-A000-07A33DCC3A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7D684A-F505-48DB-95AE-282D73A21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EF6294F-812D-4B08-A84D-A9FB7FD01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Application>LibreOffice/26.2.4.2$Windows_X86_64 LibreOffice_project/0229ac93fcf0d7cbc6376066c6f35021cef002dc</Application>
  <AppVersion>15.0000</AppVersion>
  <Pages>9</Pages>
  <Words>2652</Words>
  <Characters>9441</Characters>
  <CharactersWithSpaces>12084</CharactersWithSpaces>
  <Paragraphs>132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2026-06-15T11:38:00Z</dcterms:created>
  <dc:creator>Dương Trúc Tiên</dc:creator>
  <dc:description/>
  <dc:language>vi-VN</dc:language>
  <cp:lastModifiedBy>Administrator</cp:lastModifiedBy>
  <cp:lastPrinted>2026-06-15T09:13:00Z</cp:lastPrinted>
  <dcterms:modified xsi:type="dcterms:W3CDTF">2026-06-15T12:09:00Z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