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311E6A" w:rsidRPr="00311E6A" w:rsidTr="00311E6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PHÁT TRIỂN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VIỆT NAM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THUYẾT MINH BÁO CÁO TÀI CHÍNH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Cho năm tài chính kết thúc ngày ... tháng...năm...</w:t>
      </w: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(</w:t>
      </w:r>
      <w:proofErr w:type="gramStart"/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gramEnd"/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Quý ...năm....)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Đặc điểm hoạt động của đơn vị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1. Quyết định thành lập và hoạt động, thời hạn có giá trị;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2. Hình thức sở hữu vốn;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3. Thành phần của Hội đồng quản trị (Tên, chức danh của từng người);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4. Thành phần Ban Giám đốc (Tên, chức danh từng người);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5. Trụ sở chính………</w:t>
      </w:r>
      <w:proofErr w:type="gramStart"/>
      <w:r w:rsidRPr="00311E6A">
        <w:rPr>
          <w:rFonts w:ascii="Arial" w:eastAsia="Times New Roman" w:hAnsi="Arial" w:cs="Arial"/>
          <w:color w:val="000000"/>
          <w:sz w:val="18"/>
          <w:szCs w:val="18"/>
        </w:rPr>
        <w:t>… ;</w:t>
      </w:r>
      <w:proofErr w:type="gramEnd"/>
      <w:r w:rsidRPr="00311E6A">
        <w:rPr>
          <w:rFonts w:ascii="Arial" w:eastAsia="Times New Roman" w:hAnsi="Arial" w:cs="Arial"/>
          <w:color w:val="000000"/>
          <w:sz w:val="18"/>
          <w:szCs w:val="18"/>
        </w:rPr>
        <w:t xml:space="preserve"> Số chi nhánh: ……………..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6. Tổng số cán bộ, công nhân viên</w:t>
      </w:r>
      <w:proofErr w:type="gramStart"/>
      <w:r w:rsidRPr="00311E6A">
        <w:rPr>
          <w:rFonts w:ascii="Arial" w:eastAsia="Times New Roman" w:hAnsi="Arial" w:cs="Arial"/>
          <w:color w:val="000000"/>
          <w:sz w:val="18"/>
          <w:szCs w:val="18"/>
        </w:rPr>
        <w:t>:....</w:t>
      </w:r>
      <w:proofErr w:type="gramEnd"/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Kỳ kế toán, đơn vị tiền tệ sử dụng trong kế toán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1. Kỳ kế toán năm (bắt đầu từ ngày ..../…/….. kết thúc vào ngày ……/..../....)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2. Đơn vị tiền tệ sử dụng trong kế toán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Chế độ kế toán áp dụng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1. Chế độ kế toán áp dụng;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2. Hình thức kế toán áp dụng;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Chính sách kế toán áp dụng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1. Chuyển đổi tiền tệ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 xml:space="preserve">2. Nguyên tắc ghi nhận </w:t>
      </w:r>
      <w:proofErr w:type="gramStart"/>
      <w:r w:rsidRPr="00311E6A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311E6A">
        <w:rPr>
          <w:rFonts w:ascii="Arial" w:eastAsia="Times New Roman" w:hAnsi="Arial" w:cs="Arial"/>
          <w:color w:val="000000"/>
          <w:sz w:val="18"/>
          <w:szCs w:val="18"/>
        </w:rPr>
        <w:t xml:space="preserve"> nhập - chi phí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3. Kế toán đối với cho vay khách hàng: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Nguyên tắc ghi nhận khoản vay;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Cơ sở trích lập Quỹ dự phòng rủi ro tín dụng: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4. Nguyên tắc ghi nhận TSCĐ và khấu hao TSCĐ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4.1. Kế toán TSCĐ vô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Nguyên tắc ghi nhận TSCĐ vô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Phương pháp tính khấu hao TSCĐ vô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4.2. Kế toán TSCĐ hữu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Nguyên tắc ghi nhận TSCĐ hữu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Phương pháp tính khấu hao TSCĐ hữu hình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5. Vốn chủ sở hữu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Vốn điều lệ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- Trích lập và sử dụng các Quỹ từ chênh lệch (Thu - Chi)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6. Các hoạt động ủy thác chịu rủi ro tín dụng: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7. Các điều chỉnh số liệu kì kế toán trước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Thông tin bổ sung cho các khoản mục trình bày trong Báo cáo tình hình tài chính và báo cáo kết quả hoạt động</w:t>
      </w:r>
      <w:r w:rsidRPr="00311E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(ĐVT: triệu đồng VN)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Tiền mặt, chứng từ có giá trị ngoại tệ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2231"/>
        <w:gridCol w:w="1766"/>
      </w:tblGrid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Tiền mặt tại quỹ bằng VNĐ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mặt tại quỹ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từ có giá trị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Tiền gửi tại NHNN Việt Nam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2231"/>
        <w:gridCol w:w="1766"/>
      </w:tblGrid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thanh toán tại NHNN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Bằng VNĐ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Tiền gửi tại các TCTD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1"/>
        <w:gridCol w:w="2045"/>
        <w:gridCol w:w="1766"/>
      </w:tblGrid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tại các TCTD khác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Theo kì hạn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không kỳ hạn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có kỳ hạn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chuyên dùng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Theo phạm vi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tại các TCTD trong nước bằng VND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tại các TCTD trong nước bằng ngoại tệ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tại các TCTD nước ngoài bằng VND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TG tại các TCTD nước ngoài bằng ngoại tệ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Dự phòng rủi ro (***)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Cho vay khách hàng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4.1. Phân tích chất lượng nợ cho vay: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7"/>
        <w:gridCol w:w="2025"/>
        <w:gridCol w:w="1750"/>
      </w:tblGrid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dư nợ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Nợ quá hạn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Nợ chờ xử lý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Nợ cho vay được khoanh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Tỷ lệ nợ quá hạn trên tổng dư nợ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 Tỷ lệ nợ khoanh trên tổng dư nợ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4.2. Cơ cấu tín dụng khách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1"/>
        <w:gridCol w:w="1952"/>
        <w:gridCol w:w="1859"/>
      </w:tblGrid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 vay tín dụng đầu tư, tín dụng xuất khẩu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Chiết khấu công cụ chuyển nhượng và giấy tờ có giá đối với các tổ chức kinh tế, cá nhân trong nước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 vay từ nguồn vốn ủy thác đầu tư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 vay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thay khách hàng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4.3. Cơ cấu </w:t>
      </w:r>
      <w:proofErr w:type="gramStart"/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theo</w:t>
      </w:r>
      <w:proofErr w:type="gramEnd"/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loại cho vay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7"/>
        <w:gridCol w:w="2187"/>
        <w:gridCol w:w="2278"/>
      </w:tblGrid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*** Cho vay đối với tổ chức, cá nhân trong nước: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ngắn hạn HTXK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ngắn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trung hạn tín dụng đầu tư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trung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dài hạn tín dụng đầu tư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dài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lại vốn ODA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Cho vay vốn nhận ủy thác của các TCTCQT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theo thỏa thuận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lại vốn vay nước ngoài NHPT chịu rủi ro tín dụng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huy động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thí điểm dưới 12 tháng: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VIDIFI bằng VNĐ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DA đường ôtô cao tốc HN-HP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hỗ trợ người lao động MVL theo QĐ 30 của TTg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của NSĐP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của BTC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Trả thay bảo lãnh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Nợ chờ xử lý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 Tổng dư nợ cho vay trong nước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 Tổng dư nợ quá hạn cho vay trong nước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*** Cấp HT SĐT, cấp phát đối với các tổ chức, cá nhân trong nước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Cấp hỗ trợ sau đầu tư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+ bằng NSTW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bằng NSĐP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Cấp phát vốn ủy thác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+ tạm ứng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cấp phát khối lượng hoàn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Cấp phát khác (Thủy điện Sơn La)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+ tạm ứng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cấp phát khối lượng hoàn thành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*** Cho vay đối với tổ chức, cá nhân nước ngoài: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ngắn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trung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dài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đó: nợ quá hạn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4.4. Lãi cho vay và phí chưa </w:t>
      </w:r>
      <w:proofErr w:type="gramStart"/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thu</w:t>
      </w:r>
      <w:proofErr w:type="gramEnd"/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được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4"/>
        <w:gridCol w:w="2209"/>
        <w:gridCol w:w="2209"/>
      </w:tblGrid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*** Cho vay đối với tổ chức, cá nhân trong nước: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ngắn hạn HTXK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ngắn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trung hạn tín dụng đầu tư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trung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Cho vay dài hạn tín dụng đầu tư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dài hạn chương trình đặc biệt của Chính phủ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lại vốn ODA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Phí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nhận ủy thác của các TCTCQT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Phí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theo thỏa thuận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lại vốn vay nước ngoài NHPT chịu rủi ro tín dụng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huy động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thí điểm dưới 12 tháng: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VIDIFI bằng VNĐ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DA đường ôtô cao tốc HN-HP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hỗ trợ người lao động MVL theo QĐ 30 của TTg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của NSĐP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Phí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khác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Phí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Cho vay vốn ủy thác của BTC bằng ngoại tệ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cho vay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Phí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Trả thay bảo lãnh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Lãi chưa thu được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Góp vốn, đầu tư dài hạn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3"/>
        <w:gridCol w:w="1395"/>
        <w:gridCol w:w="1394"/>
        <w:gridCol w:w="1394"/>
        <w:gridCol w:w="1766"/>
      </w:tblGrid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từ đầu năm đến hết kì báo cáo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từ đầu năm đến hết kì báo cáo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tư vào công ty con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Góp vốn liên doanh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tư vào công ty liên kết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tư dài hạn khác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 phòng giảm giá đầu tư dài hạn (***)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Tài sản cố định hữu hình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1"/>
        <w:gridCol w:w="1043"/>
        <w:gridCol w:w="1044"/>
        <w:gridCol w:w="1139"/>
        <w:gridCol w:w="855"/>
        <w:gridCol w:w="855"/>
        <w:gridCol w:w="855"/>
      </w:tblGrid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Khoản mục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cửa, vật kiến trúc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Máy móc thiết bị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vận tải, truyền dẫn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Thiết bị dụng cụ quản lý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TSCĐ khác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giá TSCĐ hữu hình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Mua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Đầu tư XDCB hoàn thành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Thanh lý, nhượng bán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hao mòn lũy kế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dư đầu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Khấu hao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Thanh lý, nhượng bán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còn lại của TSCĐ HH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đầu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Tài sản cố định thuê tài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6"/>
        <w:gridCol w:w="759"/>
        <w:gridCol w:w="1043"/>
        <w:gridCol w:w="1139"/>
        <w:gridCol w:w="855"/>
        <w:gridCol w:w="855"/>
        <w:gridCol w:w="855"/>
      </w:tblGrid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Khoản mục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cửa, vật kiến trúc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Máy móc thiết bị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tiện vận tải, truyền dẫn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Thiết bị dụng cụ quản lý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TSCĐ khác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giá TSCĐ thuê tài chính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Thuê tài chính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Mua lại TSCĐ thuê tài chính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Trả lại TSCĐ thuê tài chính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hao mòn lũy kế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Khấu hao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Mua lại TSCĐ thuê tài chính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- Trả lại TSCĐ thuê tài chính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dư cuối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còn lại của TSCĐ thuê tài chính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đầu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cuối kỳ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Tài sản cố định vô hình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9"/>
        <w:gridCol w:w="1302"/>
        <w:gridCol w:w="1116"/>
        <w:gridCol w:w="1301"/>
        <w:gridCol w:w="929"/>
        <w:gridCol w:w="1115"/>
      </w:tblGrid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Khoản mục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sử dụng đất có thời hạn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 quyền, bằng sáng chế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mềm máy vi tính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TSCĐ vô hình khác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 giá TSCĐ vô hình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Mua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Thanh lý, nhượng bán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hao mòn lũy kế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Khấu hao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khác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Thanh lý, nhượng bán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Giảm khác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còn lại của TSCĐ VH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đầu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Tại ngày cuối kỳ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Tài sản Có khác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9.1. Chi phí XDCB dở dang, mua sắm TSCĐ chưa hoàn thành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8"/>
        <w:gridCol w:w="1914"/>
        <w:gridCol w:w="2460"/>
      </w:tblGrid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Mua sắm TSCĐ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Sửa chữa TSCĐ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XDCB dở dang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 đó, những công trình lớn: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9.2. Tài sản Có khác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Chờ NSNN cấp bù CLLS, PQL TDĐT, TDXK, BL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Chờ NSNN cấp PQL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Tạm ứng nộp NSNN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Tạm ứng để hoạt động nghiệp vụ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Tạm ứng tiền lương, công tác phí cho cán bộ, nhân viên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Lãi, phí phải thu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nợ phải thu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Vật liệu, công cụ dụng cụ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trả trước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sản Có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 phòng phải thu khó đòi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10, Nợ Chính phủ và NHNN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6"/>
        <w:gridCol w:w="1565"/>
        <w:gridCol w:w="1381"/>
      </w:tblGrid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10.1. Tiền gửi của Kho bạc Nhà nước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Kho bạc Nhà nước bằng VNĐ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Kho bạc Nhà nước bằng ngoại tệ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10.2. Vay NSNN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NSNN bằng VND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Vay NSNN bằng ngoại tệ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10.3. Vay NHNN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NHNN bằng VND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NHNN bằng ngoại tệ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10.4. Giao dịch bán và mua lại trái phiếu Chính phủ với Kho bạc Nhà nước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Tiền gửi, tiền vay của TCTD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4"/>
        <w:gridCol w:w="1841"/>
        <w:gridCol w:w="1657"/>
      </w:tblGrid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11.1. Tiền gửi của TCTD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TCTD trong nước bằng VND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TCTD trong nước bằng ngoại tệ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TCTD nước ngoài bằng VND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của TCTD nước ngoài bằng ngoại tệ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11.2. Vay các TCTD khác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TCTD trong nước bằng ngoại tệ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TCTD trong nước bằng VND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TCTD nước ngoài bằng VND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Vay TCTD nước ngoài bằng ngoại tệ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Tiền gửi của khách hàng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1"/>
        <w:gridCol w:w="1952"/>
        <w:gridCol w:w="1859"/>
      </w:tblGrid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gửi không kỳ hạn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Tiền gửi không kỳ hạn bằng VND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gửi không kỳ hạn bằng ngoại tệ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gửi có kỳ hạn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gửi có kỳ hạn bằng VND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gửi có kỳ hạn bằng ngoại tệ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gửi vốn chuyên dùng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gửi vốn chuyên dùng bằng VND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Tiền gửi vốn chuyên dùng bằng ngoại tệ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gửi ký quỹ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khoản bảo đảm thanh toán khác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13. Vốn nhận ủy thác đầu tư, cho vay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1841"/>
        <w:gridCol w:w="1841"/>
      </w:tblGrid>
      <w:tr w:rsidR="00311E6A" w:rsidRPr="00311E6A" w:rsidTr="00311E6A">
        <w:trPr>
          <w:tblCellSpacing w:w="0" w:type="dxa"/>
        </w:trPr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nhận của Chính phủ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nhận của các tổ chức, cá nhân trong nước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Vốn nhận của các tổ chức, cá nhân nước ngoài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14. Phát hành giấy tờ có giá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0"/>
        <w:gridCol w:w="1596"/>
        <w:gridCol w:w="1503"/>
        <w:gridCol w:w="1691"/>
        <w:gridCol w:w="1972"/>
      </w:tblGrid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phiếu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 phiếu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 phiếu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tờ có giá khác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Mệnh giá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Chiết khấu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Phụ trội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Mệnh giá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Chiết khấu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Phụ trội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15. Các khoản nợ phải trả </w:t>
      </w:r>
      <w:r w:rsidRPr="00311E6A">
        <w:rPr>
          <w:rFonts w:ascii="Arial" w:eastAsia="Times New Roman" w:hAnsi="Arial" w:cs="Arial"/>
          <w:b/>
          <w:bCs/>
          <w:strike/>
          <w:color w:val="000000"/>
          <w:sz w:val="18"/>
          <w:szCs w:val="18"/>
        </w:rPr>
        <w:t>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4"/>
        <w:gridCol w:w="1749"/>
        <w:gridCol w:w="1749"/>
      </w:tblGrid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Cuối kỳ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 kỳ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 trả cán bộ, CNV của NHPT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phải nộp Nhà nước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Phải trả lãi tiền gửi, lãi tiền vay, lãi trái phiếu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lãi và phí vốn nhận ủy thác cho vay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phải trả người bán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phải trả, phải nộp khác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16. Dự phòng rủi ro cho vay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6"/>
        <w:gridCol w:w="2325"/>
        <w:gridCol w:w="2231"/>
      </w:tblGrid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nay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trước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dư đầu kỳ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Tăng từ đầu kỳ đến hết kỳ báo cáo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Dự phòng trích lập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Tăng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Giảm từ đầu kỳ đến cuối kỳ báo cáo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Sử dụng để XLRR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+ Khác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Số dư cuối kỳ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17. Tình hình thay đổi một số chỉ tiêu VCSH của NHPT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461"/>
        <w:gridCol w:w="1031"/>
        <w:gridCol w:w="431"/>
        <w:gridCol w:w="747"/>
        <w:gridCol w:w="747"/>
        <w:gridCol w:w="570"/>
        <w:gridCol w:w="510"/>
        <w:gridCol w:w="558"/>
        <w:gridCol w:w="558"/>
      </w:tblGrid>
      <w:tr w:rsidR="00311E6A" w:rsidRPr="00311E6A" w:rsidTr="00311E6A">
        <w:trPr>
          <w:trHeight w:val="1480"/>
          <w:tblCellSpacing w:w="0" w:type="dxa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Vốn điều lệ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Vốn đầu tư XDCB, mua sắm TSCĐ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Vốn khác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 đầu tư phát triển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 Dự trữ bổ sung vốn điều lệ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 dự phòng tài chính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Quỹ khác thuộc vốn CSH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KQHĐ chưa phân phối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đầu kỳ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Tăng vốn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Kết quả hoạt động tăng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Trích bổ sung các quỹ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Chuyển từ quỹ dự trữ sang vốn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Giảm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Sử dụng trong kỳ</w:t>
            </w:r>
          </w:p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Các khoản khác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dư cuối kỳ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18. Kết quả hoạt động chưa phân phối</w:t>
      </w:r>
      <w:r w:rsidRPr="00311E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(chỉ thuyết minh cho báo cáo năm)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5"/>
        <w:gridCol w:w="2025"/>
        <w:gridCol w:w="1472"/>
      </w:tblGrid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nay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trước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thu nhập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chi phí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hoạt động chưa phân phối năm nay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19. Tình hình </w:t>
      </w:r>
      <w:proofErr w:type="gramStart"/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</w:t>
      </w:r>
      <w:proofErr w:type="gramEnd"/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nhập của cán bộ viên chức</w:t>
      </w:r>
      <w:r w:rsidRPr="00311E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(chỉ thuyết minh cho báo cáo năm)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5"/>
        <w:gridCol w:w="2025"/>
        <w:gridCol w:w="1472"/>
      </w:tblGrid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Chỉ tiêu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nay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trước</w:t>
            </w: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Tổng số cán bộ, viên chức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Thu nhập của cán bộ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Tổng quỹ lương </w:t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(triệu VNĐ)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11E6A" w:rsidRPr="00311E6A" w:rsidTr="00311E6A">
        <w:trPr>
          <w:tblCellSpacing w:w="0" w:type="dxa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lương bình quân </w:t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(triệu VNĐ/người/tháng)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20. Thu cấp bù chênh lệch lãi suất, </w:t>
      </w:r>
      <w:proofErr w:type="gramStart"/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</w:t>
      </w:r>
      <w:proofErr w:type="gramEnd"/>
      <w:r w:rsidRPr="00311E6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phí quản lý</w:t>
      </w:r>
      <w:r w:rsidRPr="00311E6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311E6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(chỉ thuyết minh cho báo cáo năm)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20.1. Thu cấp bù chênh lệch lãi suất: thuyết minh các chỉ tiêu chính tính cấp bù CLLS năm nay và năm trước.</w:t>
      </w:r>
    </w:p>
    <w:p w:rsidR="00311E6A" w:rsidRPr="00311E6A" w:rsidRDefault="00311E6A" w:rsidP="00311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1E6A">
        <w:rPr>
          <w:rFonts w:ascii="Arial" w:eastAsia="Times New Roman" w:hAnsi="Arial" w:cs="Arial"/>
          <w:color w:val="000000"/>
          <w:sz w:val="18"/>
          <w:szCs w:val="18"/>
        </w:rPr>
        <w:t>20.2. Thu phí quản lý: thuyết minh các chỉ tiêu chính tính phí quản lý năm nay và năm trước.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2657"/>
        <w:gridCol w:w="3941"/>
      </w:tblGrid>
      <w:tr w:rsidR="00311E6A" w:rsidRPr="00311E6A" w:rsidTr="00311E6A">
        <w:trPr>
          <w:tblCellSpacing w:w="0" w:type="dxa"/>
        </w:trPr>
        <w:tc>
          <w:tcPr>
            <w:tcW w:w="1350" w:type="pct"/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NGƯỜI LẬP BIỂU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1450" w:type="pct"/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KẾ TOÁN TRƯỞNG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  <w:tc>
          <w:tcPr>
            <w:tcW w:w="2150" w:type="pct"/>
            <w:shd w:val="clear" w:color="auto" w:fill="FFFFFF"/>
            <w:hideMark/>
          </w:tcPr>
          <w:p w:rsidR="00311E6A" w:rsidRPr="00311E6A" w:rsidRDefault="00311E6A" w:rsidP="00311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ngày…. tháng…. năm…..</w:t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GIÁM ĐỐC</w:t>
            </w:r>
            <w:r w:rsidRPr="0031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1E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tên, đóng dấu)</w:t>
            </w: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11E6A"/>
    <w:rsid w:val="002C2916"/>
    <w:rsid w:val="00311E6A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E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1883</Words>
  <Characters>10736</Characters>
  <Application>Microsoft Office Word</Application>
  <DocSecurity>0</DocSecurity>
  <Lines>89</Lines>
  <Paragraphs>25</Paragraphs>
  <ScaleCrop>false</ScaleCrop>
  <Company>Grizli777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2023-03-18T00:56:00Z</dcterms:created>
  <dcterms:modified xsi:type="dcterms:W3CDTF">2023-03-18T00:56:00Z</dcterms:modified>
</cp:coreProperties>
</file>