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122/2025/NĐ-CP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QUYỀN, PHÂN CẤP TRONG LĨNH VỰC QUẢN LÝ THUẾ</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w:t>
      </w:r>
      <w:bookmarkEnd w:id="2"/>
      <w:r>
        <w:rPr>
          <w:i/>
          <w:iCs/>
          <w:rtl w:val="0"/>
        </w:rPr>
        <w:t xml:space="preserve"> ngày 18 tháng 02 năm 2025;</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định quy định về phân quyền, phân cấp trong lĩnh vực quản lý thuế.</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thẩm quyền, trình tự, thủ tục thực hiện nhiệm vụ, quyền hạn của cơ quan, người có thẩm quyền trong lĩnh vực quản lý thuế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rPr>
          <w:rtl w:val="0"/>
        </w:rPr>
      </w:pPr>
      <w:bookmarkStart w:id="8" w:name="dieu_2"/>
      <w:r>
        <w:rPr>
          <w:b/>
          <w:bCs/>
          <w:rtl w:val="0"/>
        </w:rPr>
        <w:t>Điều 2. Nguyên tắc phân cấp, phân quyền</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quản lý thuế và phát huy tính chủ động, sáng tạo, tự chịu trách nhiệm của chính quyền địa phương trong thực hiện nhiệm vụ quản lý nhà nước trong lĩnh vực quản lý thuế.</w:t>
      </w:r>
    </w:p>
    <w:p>
      <w:pPr>
        <w:bidi w:val="0"/>
        <w:spacing w:before="120" w:beforeAutospacing="0" w:after="280" w:afterAutospacing="1"/>
        <w:rPr>
          <w:rtl w:val="0"/>
        </w:rPr>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rtl w:val="0"/>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7.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8. Nguồn lực thực hiện nhiệm vụ được phân quyền, phân cấp do ngân sách nhà nước bảo đảm theo quy định.</w:t>
      </w:r>
    </w:p>
    <w:p>
      <w:pPr>
        <w:bidi w:val="0"/>
        <w:spacing w:before="120" w:beforeAutospacing="0" w:after="280" w:afterAutospacing="1"/>
        <w:rPr>
          <w:rtl w:val="0"/>
        </w:rPr>
      </w:pPr>
      <w:bookmarkStart w:id="12" w:name="chuong_2"/>
      <w:r>
        <w:rPr>
          <w:b/>
          <w:bCs/>
          <w:rtl w:val="0"/>
        </w:rPr>
        <w:t>Chương II</w:t>
      </w:r>
      <w:bookmarkEnd w:id="12"/>
    </w:p>
    <w:p>
      <w:pPr>
        <w:bidi w:val="0"/>
        <w:spacing w:before="120" w:beforeAutospacing="0" w:after="280" w:afterAutospacing="1"/>
        <w:jc w:val="center"/>
        <w:rPr>
          <w:rtl w:val="0"/>
        </w:rPr>
      </w:pPr>
      <w:bookmarkStart w:id="13" w:name="chuong_2_name"/>
      <w:r>
        <w:rPr>
          <w:b/>
          <w:bCs/>
          <w:sz w:val="24"/>
          <w:rtl w:val="0"/>
        </w:rPr>
        <w:t>PHÂN QUYỀN TRONG LĨNH VỰC QUẢN LÝ THUẾ</w:t>
      </w:r>
      <w:bookmarkEnd w:id="13"/>
    </w:p>
    <w:p>
      <w:pPr>
        <w:bidi w:val="0"/>
        <w:spacing w:before="120" w:beforeAutospacing="0" w:after="280" w:afterAutospacing="1"/>
        <w:rPr>
          <w:rtl w:val="0"/>
        </w:rPr>
      </w:pPr>
      <w:bookmarkStart w:id="14" w:name="dieu_3"/>
      <w:r>
        <w:rPr>
          <w:b/>
          <w:bCs/>
          <w:rtl w:val="0"/>
        </w:rPr>
        <w:t>Điều 3. Hồ sơ khai thuế, thời hạn nộp và địa điểm nộp hồ sơ khai thuế</w:t>
      </w:r>
      <w:bookmarkEnd w:id="14"/>
    </w:p>
    <w:p>
      <w:pPr>
        <w:bidi w:val="0"/>
        <w:spacing w:before="120" w:beforeAutospacing="0" w:after="280" w:afterAutospacing="1"/>
        <w:rPr>
          <w:rtl w:val="0"/>
        </w:rPr>
      </w:pPr>
      <w:r>
        <w:rPr>
          <w:rtl w:val="0"/>
        </w:rPr>
        <w:t xml:space="preserve">1. Việc người nộp thuế không phải nộp các chứng từ trong hồ sơ khai thuế, nộp thuế, hồ sơ hoàn thuế và các hồ sơ thuế khác mà cơ quan quản lý nhà nước đã có, căn cứ tình hình thực tế và điều kiện trang bị công nghệ thông tin theo quy định tại </w:t>
      </w:r>
      <w:bookmarkStart w:id="15" w:name="dc_1"/>
      <w:r>
        <w:rPr>
          <w:rtl w:val="0"/>
        </w:rPr>
        <w:t>khoản 11 Điều 17 Luật Quản lý thuế số 38/2019/QH14</w:t>
      </w:r>
      <w:bookmarkEnd w:id="15"/>
      <w:r>
        <w:rPr>
          <w:rtl w:val="0"/>
        </w:rPr>
        <w:t xml:space="preserve"> ngày 13 tháng 6 năm 2019 do Bộ trưởng Bộ Tài chính hướng dẫn.</w:t>
      </w:r>
    </w:p>
    <w:p>
      <w:pPr>
        <w:bidi w:val="0"/>
        <w:spacing w:before="120" w:beforeAutospacing="0" w:after="280" w:afterAutospacing="1"/>
        <w:rPr>
          <w:rtl w:val="0"/>
        </w:rPr>
      </w:pPr>
      <w:r>
        <w:rPr>
          <w:rtl w:val="0"/>
        </w:rPr>
        <w:t xml:space="preserve">2. Hồ sơ khai thuế; loại thuế khai theo tháng, khai theo quý, khai theo năm, khai theo từng lần phát sinh nghĩa vụ thuế, khai quyết toán thuế; khai các khoản phải nộp về phí, lệ phí do cơ quan đại diện nước Cộng hòa xã hội chủ nghĩa Việt Nam ở nước ngoài thực hiện thu; kê khai, cung cấp, trao đổi, sử dụng thông tin đối với báo cáo lợi nhuận liên quốc gia; tiêu chí xác định người nộp thuế để khai thuế theo quý theo quy định tại </w:t>
      </w:r>
      <w:bookmarkStart w:id="16" w:name="dc_2"/>
      <w:r>
        <w:rPr>
          <w:rtl w:val="0"/>
        </w:rPr>
        <w:t>khoản 8 Điều 43 Luật Quản lý thuế số 38/2019/QH14</w:t>
      </w:r>
      <w:bookmarkEnd w:id="16"/>
      <w:r>
        <w:rPr>
          <w:rtl w:val="0"/>
        </w:rPr>
        <w:t xml:space="preserve"> ngày 13 tháng 6 năm 2019 do Bộ trưởng Bộ Tài chính hướng dẫn.</w:t>
      </w:r>
    </w:p>
    <w:p>
      <w:pPr>
        <w:bidi w:val="0"/>
        <w:spacing w:before="120" w:beforeAutospacing="0" w:after="280" w:afterAutospacing="1"/>
        <w:rPr>
          <w:rtl w:val="0"/>
        </w:rPr>
      </w:pPr>
      <w:r>
        <w:rPr>
          <w:rtl w:val="0"/>
        </w:rPr>
        <w:t xml:space="preserve">3. Thời hạn nộp hồ sơ khai thuế đối với thuế sử dụng đất nông nghiệp; thuế sử dụng đất phi nông nghiệp; tiền sử dụng đất; tiền thuê đất, thuê mặt nước; tiền cấp quyền khai thác khoáng sản; tiền cấp quyền khai thác tài nguyên nước; lệ phí trước bạ; lệ phí môn bài; khoản thu vào ngân sách nhà nước theo quy định của pháp luật về quản lý, sử dụng tài sản công; báo cáo lợi nhuận liên quốc gia theo quy định tại </w:t>
      </w:r>
      <w:bookmarkStart w:id="17" w:name="dc_3"/>
      <w:r>
        <w:rPr>
          <w:rtl w:val="0"/>
        </w:rPr>
        <w:t>khoản 5 Điều 44 Luật Quản lý thuế số 38/2019/QH14</w:t>
      </w:r>
      <w:bookmarkEnd w:id="17"/>
      <w:r>
        <w:rPr>
          <w:rtl w:val="0"/>
        </w:rPr>
        <w:t xml:space="preserve"> ngày 13 tháng 6 năm 2019 do Bộ trưởng Bộ Tài chính hướng dẫn.</w:t>
      </w:r>
    </w:p>
    <w:p>
      <w:pPr>
        <w:bidi w:val="0"/>
        <w:spacing w:before="120" w:beforeAutospacing="0" w:after="280" w:afterAutospacing="1"/>
        <w:rPr>
          <w:rtl w:val="0"/>
        </w:rPr>
      </w:pPr>
      <w:r>
        <w:rPr>
          <w:rtl w:val="0"/>
        </w:rPr>
        <w:t xml:space="preserve">4. Địa điểm nộp hồ sơ khai thuế đối với người nộp thuế có nhiều hoạt động sản xuất, kinh doanh; người nộp thuế thực hiện hoạt động sản xuất, kinh doanh ở nhiều địa bàn; người nộp thuế có phát sinh nghĩa vụ thuế đối với các loại thuế khai và nộp theo từng lần phát sinh, các khoản thu từ đất, cấp quyền khai thác tài nguyên nước, tài nguyên khoáng sản, quyết toán thuế thu nhập cá nhân; và người nộp thuế thực hiện khai thuế thông qua giao dịch điện tử cùng các trường hợp cần thiết khác theo quy định tại </w:t>
      </w:r>
      <w:bookmarkStart w:id="18" w:name="dc_4"/>
      <w:r>
        <w:rPr>
          <w:rtl w:val="0"/>
        </w:rPr>
        <w:t>khoản 4 Điều 45 Luật Quản lý thuế số 38/2019/QH14</w:t>
      </w:r>
      <w:bookmarkEnd w:id="18"/>
      <w:r>
        <w:rPr>
          <w:rtl w:val="0"/>
        </w:rPr>
        <w:t xml:space="preserve"> ngày 13 tháng 6 năm 2019 do Bộ trưởng Bộ Tài chính hướng dẫn.</w:t>
      </w:r>
    </w:p>
    <w:p>
      <w:pPr>
        <w:bidi w:val="0"/>
        <w:spacing w:before="120" w:beforeAutospacing="0" w:after="280" w:afterAutospacing="1"/>
        <w:rPr>
          <w:rtl w:val="0"/>
        </w:rPr>
      </w:pPr>
      <w:r>
        <w:rPr>
          <w:rtl w:val="0"/>
        </w:rPr>
        <w:t>5. Trình tự, thủ tục thực hiện nhiệm vụ</w:t>
      </w:r>
    </w:p>
    <w:p>
      <w:pPr>
        <w:bidi w:val="0"/>
        <w:spacing w:before="120" w:beforeAutospacing="0" w:after="280" w:afterAutospacing="1"/>
        <w:rPr>
          <w:rtl w:val="0"/>
        </w:rPr>
      </w:pPr>
      <w:r>
        <w:rPr>
          <w:rtl w:val="0"/>
        </w:rPr>
        <w:t xml:space="preserve">a) Hồ sơ khai thuế, loại thuế khai theo tháng, khai theo quý, khai theo năm, khai theo từng lần phát sinh nghĩa vụ thuế, khai quyết toán thuế; khai các khoản phải nộp về phí, lệ phí do cơ quan đại diện nước Cộng hòa xã hội chủ nghĩa Việt Nam ở nước ngoài thực hiện thu; kê khai, cung cấp, trao đổi, sử dụng thông tin đối với báo cáo lợi nhuận liên quốc gia; tiêu chí xác định người nộp thuế để khai thuế theo quý thực hiện theo quy định tại </w:t>
      </w:r>
      <w:bookmarkStart w:id="19" w:name="tc_1"/>
      <w:r>
        <w:rPr>
          <w:rtl w:val="0"/>
        </w:rPr>
        <w:t>điểm 1 Phụ lục ban hành kèm theo Nghị định này</w:t>
      </w:r>
      <w:bookmarkEnd w:id="19"/>
      <w:r>
        <w:rPr>
          <w:rtl w:val="0"/>
        </w:rPr>
        <w:t>.</w:t>
      </w:r>
    </w:p>
    <w:p>
      <w:pPr>
        <w:bidi w:val="0"/>
        <w:spacing w:before="120" w:beforeAutospacing="0" w:after="280" w:afterAutospacing="1"/>
        <w:rPr>
          <w:rtl w:val="0"/>
        </w:rPr>
      </w:pPr>
      <w:r>
        <w:rPr>
          <w:rtl w:val="0"/>
        </w:rPr>
        <w:t xml:space="preserve">b) Thời hạn nộp hồ sơ khai thuế đối với thuế sử dụng đất nông nghiệp; thuế sử dụng đất phi nông nghiệp; tiền sử dụng đất; tiền thuê đất, thuê mặt nước; tiền cấp quyền khai thác khoáng sản; tiền cấp quyền khai thác tài nguyên nước; lệ phí trước bạ; lệ phí môn bài; khoản thu vào ngân sách nhà nước theo quy định của pháp luật về quản lý, sử dụng tài sản công; báo cáo lợi nhuận liên quốc gia thực hiện theo quy định tại </w:t>
      </w:r>
      <w:bookmarkStart w:id="20" w:name="tc_2"/>
      <w:r>
        <w:rPr>
          <w:rtl w:val="0"/>
        </w:rPr>
        <w:t>điểm 2 Phụ lục ban hành kèm theo Nghị định này</w:t>
      </w:r>
      <w:bookmarkEnd w:id="20"/>
      <w:r>
        <w:rPr>
          <w:rtl w:val="0"/>
        </w:rPr>
        <w:t>.</w:t>
      </w:r>
    </w:p>
    <w:p>
      <w:pPr>
        <w:bidi w:val="0"/>
        <w:spacing w:before="120" w:beforeAutospacing="0" w:after="280" w:afterAutospacing="1"/>
        <w:rPr>
          <w:rtl w:val="0"/>
        </w:rPr>
      </w:pPr>
      <w:r>
        <w:rPr>
          <w:rtl w:val="0"/>
        </w:rPr>
        <w:t xml:space="preserve">c) Địa điểm nộp hồ sơ khai thuế đối với người nộp thuế có nhiều hoạt động sản xuất, kinh doanh; người nộp thuế thực hiện hoạt động sản xuất, kinh doanh ở nhiều địa bàn; người nộp thuế có phát sinh nghĩa vụ thuế đối với các loại thuế khai và nộp theo từng lần phát sinh, các khoản thu từ đất, cấp quyền khai thác tài nguyên nước, tài nguyên khoáng sản, quyết toán thuế thu nhập cá nhân; và người nộp thuế thực hiện khai thuế thông qua giao dịch điện tử cùng các trường hợp cần thiết khác thực hiện theo quy định tại </w:t>
      </w:r>
      <w:bookmarkStart w:id="21" w:name="tc_3"/>
      <w:r>
        <w:rPr>
          <w:rtl w:val="0"/>
        </w:rPr>
        <w:t>điểm 3 Phụ lục ban hành kèm theo Nghị định này</w:t>
      </w:r>
      <w:bookmarkEnd w:id="21"/>
      <w:r>
        <w:rPr>
          <w:rtl w:val="0"/>
        </w:rPr>
        <w:t>.</w:t>
      </w:r>
    </w:p>
    <w:p>
      <w:pPr>
        <w:bidi w:val="0"/>
        <w:spacing w:before="120" w:beforeAutospacing="0" w:after="280" w:afterAutospacing="1"/>
        <w:rPr>
          <w:rtl w:val="0"/>
        </w:rPr>
      </w:pPr>
      <w:bookmarkStart w:id="22" w:name="dieu_4"/>
      <w:r>
        <w:rPr>
          <w:b/>
          <w:bCs/>
          <w:rtl w:val="0"/>
        </w:rPr>
        <w:t>Điều 4. Thủ tục, hồ sơ, thời gian khoanh nợ thuế</w:t>
      </w:r>
      <w:bookmarkEnd w:id="22"/>
    </w:p>
    <w:p>
      <w:pPr>
        <w:bidi w:val="0"/>
        <w:spacing w:before="120" w:beforeAutospacing="0" w:after="280" w:afterAutospacing="1"/>
        <w:rPr>
          <w:rtl w:val="0"/>
        </w:rPr>
      </w:pPr>
      <w:r>
        <w:rPr>
          <w:rtl w:val="0"/>
        </w:rPr>
        <w:t xml:space="preserve">1. Thủ tục, hồ sơ, thời gian khoanh nợ đối với trường hợp được khoanh nợ theo quy định tại </w:t>
      </w:r>
      <w:bookmarkStart w:id="23" w:name="dc_5"/>
      <w:r>
        <w:rPr>
          <w:rtl w:val="0"/>
        </w:rPr>
        <w:t>khoản 1 Điều 84 Luật Quản lý thuế số 38/2019/QH14</w:t>
      </w:r>
      <w:bookmarkEnd w:id="23"/>
      <w:r>
        <w:rPr>
          <w:rtl w:val="0"/>
        </w:rPr>
        <w:t xml:space="preserve"> ngày 13 tháng 6 năm 2019 do Bộ trưởng Bộ Tài chính hướng dẫn.</w:t>
      </w:r>
    </w:p>
    <w:p>
      <w:pPr>
        <w:bidi w:val="0"/>
        <w:spacing w:before="120" w:beforeAutospacing="0" w:after="280" w:afterAutospacing="1"/>
        <w:rPr>
          <w:rtl w:val="0"/>
        </w:rPr>
      </w:pPr>
      <w:r>
        <w:rPr>
          <w:rtl w:val="0"/>
        </w:rPr>
        <w:t>2. Trình tự, thủ tục thực hiện nhiệm vụ</w:t>
      </w:r>
    </w:p>
    <w:p>
      <w:pPr>
        <w:bidi w:val="0"/>
        <w:spacing w:before="120" w:beforeAutospacing="0" w:after="280" w:afterAutospacing="1"/>
        <w:rPr>
          <w:rtl w:val="0"/>
        </w:rPr>
      </w:pPr>
      <w:r>
        <w:rPr>
          <w:rtl w:val="0"/>
        </w:rPr>
        <w:t xml:space="preserve">Thủ tục, hồ sơ, thời gian khoanh nợ đối với trường hợp được khoanh nợ thực hiện theo quy định tại </w:t>
      </w:r>
      <w:bookmarkStart w:id="24" w:name="tc_4"/>
      <w:r>
        <w:rPr>
          <w:rtl w:val="0"/>
        </w:rPr>
        <w:t>điểm 4 Phụ lục ban hành kèm theo Nghị định này</w:t>
      </w:r>
      <w:bookmarkEnd w:id="24"/>
      <w:r>
        <w:rPr>
          <w:rtl w:val="0"/>
        </w:rPr>
        <w:t>.</w:t>
      </w:r>
    </w:p>
    <w:p>
      <w:pPr>
        <w:bidi w:val="0"/>
        <w:spacing w:before="120" w:beforeAutospacing="0" w:after="280" w:afterAutospacing="1"/>
        <w:rPr>
          <w:rtl w:val="0"/>
        </w:rPr>
      </w:pPr>
      <w:bookmarkStart w:id="25" w:name="dieu_5"/>
      <w:r>
        <w:rPr>
          <w:b/>
          <w:bCs/>
          <w:rtl w:val="0"/>
        </w:rPr>
        <w:t>Điều 5. Thẩm quyền quyết định xóa nợ tiền thuế, tiền chậm nộp, tiền phạt</w:t>
      </w:r>
      <w:bookmarkEnd w:id="25"/>
    </w:p>
    <w:p>
      <w:pPr>
        <w:bidi w:val="0"/>
        <w:spacing w:before="120" w:beforeAutospacing="0" w:after="280" w:afterAutospacing="1"/>
        <w:rPr>
          <w:rtl w:val="0"/>
        </w:rPr>
      </w:pPr>
      <w:r>
        <w:rPr>
          <w:rtl w:val="0"/>
        </w:rPr>
        <w:t xml:space="preserve">1. Bộ trưởng Bộ Tài chính thực hiện thẩm quyền quyết định xóa nợ đối với doanh nghiệp, hợp tác xã thuộc trường hợp quy định tại </w:t>
      </w:r>
      <w:bookmarkStart w:id="26" w:name="dc_6"/>
      <w:r>
        <w:rPr>
          <w:rtl w:val="0"/>
        </w:rPr>
        <w:t>khoản 3 Điều 85 của Luật Quản lý thuế</w:t>
      </w:r>
      <w:bookmarkEnd w:id="26"/>
      <w:r>
        <w:rPr>
          <w:rtl w:val="0"/>
        </w:rPr>
        <w:t xml:space="preserve"> có khoản nợ tiền thuế, tiền chậm nộp, tiền phạt từ 15.000.000.000 đồng trở lên theo quy định tại </w:t>
      </w:r>
      <w:bookmarkStart w:id="27" w:name="dc_7"/>
      <w:r>
        <w:rPr>
          <w:rtl w:val="0"/>
        </w:rPr>
        <w:t>khoản 4 Điều 87 Luật Quản lý thuế số 38/2019/QH14</w:t>
      </w:r>
      <w:bookmarkEnd w:id="27"/>
      <w:r>
        <w:rPr>
          <w:rtl w:val="0"/>
        </w:rPr>
        <w:t xml:space="preserve"> ngày 13 tháng 6 năm 2019.</w:t>
      </w:r>
    </w:p>
    <w:p>
      <w:pPr>
        <w:bidi w:val="0"/>
        <w:spacing w:before="120" w:beforeAutospacing="0" w:after="280" w:afterAutospacing="1"/>
        <w:rPr>
          <w:rtl w:val="0"/>
        </w:rPr>
      </w:pPr>
      <w:r>
        <w:rPr>
          <w:rtl w:val="0"/>
        </w:rPr>
        <w:t>2. Trình tự, thủ tục thực hiện như sau:</w:t>
      </w:r>
    </w:p>
    <w:p>
      <w:pPr>
        <w:bidi w:val="0"/>
        <w:spacing w:before="120" w:beforeAutospacing="0" w:after="280" w:afterAutospacing="1"/>
        <w:rPr>
          <w:rtl w:val="0"/>
        </w:rPr>
      </w:pPr>
      <w:r>
        <w:rPr>
          <w:rtl w:val="0"/>
        </w:rPr>
        <w:t xml:space="preserve">a) Cơ quan thuế cơ sở quản lý trực tiếp người nộp thuế lập và gửi hồ sơ đề nghị xóa nợ đến cơ quan thuế cấp tỉnh để thẩm định; trường hợp không thuộc đối tượng xóa nợ thì cơ quan thuế cấp tỉnh thông báo cho cơ quan thuế cơ sở theo </w:t>
      </w:r>
      <w:bookmarkStart w:id="28" w:name="bieumau_ms_02_xoano_80_2021_tt_btc"/>
      <w:r>
        <w:rPr>
          <w:rtl w:val="0"/>
        </w:rPr>
        <w:t>Mẫu số 02/XOANO</w:t>
      </w:r>
      <w:bookmarkEnd w:id="28"/>
      <w:r>
        <w:rPr>
          <w:rtl w:val="0"/>
        </w:rPr>
        <w:t xml:space="preserve"> ban hành kèm theo Thông tư số </w:t>
      </w:r>
      <w:bookmarkStart w:id="29" w:name="tvpllink_fhqehvsinf"/>
      <w:r>
        <w:rPr>
          <w:rtl w:val="0"/>
        </w:rPr>
        <w:t>80/2021/TT-BTC</w:t>
      </w:r>
      <w:bookmarkEnd w:id="29"/>
      <w:r>
        <w:rPr>
          <w:rtl w:val="0"/>
        </w:rPr>
        <w:t xml:space="preserve"> ngày 29 tháng 9 năm 2021 của Bộ Tài chính; trường hợp thuộc đối tượng xóa nợ thì cơ quan thuế cấp tỉnh lập văn bản đề nghị kèm theo hồ sơ gửi Cục Thuế thẩm định.</w:t>
      </w:r>
    </w:p>
    <w:p>
      <w:pPr>
        <w:bidi w:val="0"/>
        <w:spacing w:before="120" w:beforeAutospacing="0" w:after="280" w:afterAutospacing="1"/>
        <w:rPr>
          <w:rtl w:val="0"/>
        </w:rPr>
      </w:pPr>
      <w:r>
        <w:rPr>
          <w:rtl w:val="0"/>
        </w:rPr>
        <w:t xml:space="preserve">Cục Thuế thẩm định hồ sơ đề nghị xóa nợ. Trường hợp không thuộc đối tượng xóa nợ thì Cục Thuế thông báo cho cơ quan thuế cấp tỉnh theo </w:t>
      </w:r>
      <w:bookmarkStart w:id="30" w:name="bieumau_ms_02_xoano_80_2021_tt_btc_1"/>
      <w:r>
        <w:rPr>
          <w:rtl w:val="0"/>
        </w:rPr>
        <w:t>Mẫu số 02/XOANO</w:t>
      </w:r>
      <w:bookmarkEnd w:id="30"/>
      <w:r>
        <w:rPr>
          <w:rtl w:val="0"/>
        </w:rPr>
        <w:t xml:space="preserve"> ban hành kèm theo Thông tư số </w:t>
      </w:r>
      <w:bookmarkStart w:id="31" w:name="tvpllink_fhqehvsinf_1"/>
      <w:r>
        <w:rPr>
          <w:rtl w:val="0"/>
        </w:rPr>
        <w:t>80/2021/TT-BTC</w:t>
      </w:r>
      <w:bookmarkEnd w:id="31"/>
      <w:r>
        <w:rPr>
          <w:rtl w:val="0"/>
        </w:rPr>
        <w:t xml:space="preserve"> ngày 29 tháng 9 năm 2021 của Bộ Tài chính; trường hợp thuộc đối tượng xóa nợ thì Cục Thuế dự thảo quyết định xóa nợ theo </w:t>
      </w:r>
      <w:bookmarkStart w:id="32" w:name="bieumau_ms_06_xoano_80_2021_tt_btc"/>
      <w:r>
        <w:rPr>
          <w:rtl w:val="0"/>
        </w:rPr>
        <w:t>Mẫu số 06/XOANO</w:t>
      </w:r>
      <w:bookmarkEnd w:id="32"/>
      <w:r>
        <w:rPr>
          <w:rtl w:val="0"/>
        </w:rPr>
        <w:t xml:space="preserve"> ban hành kèm theo Thông tư số </w:t>
      </w:r>
      <w:bookmarkStart w:id="33" w:name="tvpllink_fhqehvsinf_2"/>
      <w:r>
        <w:rPr>
          <w:rtl w:val="0"/>
        </w:rPr>
        <w:t>80/2021/TT-BTC</w:t>
      </w:r>
      <w:bookmarkEnd w:id="33"/>
      <w:r>
        <w:rPr>
          <w:rtl w:val="0"/>
        </w:rPr>
        <w:t xml:space="preserve"> ngày 29 tháng 9 năm 2021 của Bộ Tài chính trình Bộ trưởng Bộ Tài chính xem xét, quyết định.</w:t>
      </w:r>
    </w:p>
    <w:p>
      <w:pPr>
        <w:bidi w:val="0"/>
        <w:spacing w:before="120" w:beforeAutospacing="0" w:after="280" w:afterAutospacing="1"/>
        <w:rPr>
          <w:rtl w:val="0"/>
        </w:rPr>
      </w:pPr>
      <w:r>
        <w:rPr>
          <w:rtl w:val="0"/>
        </w:rPr>
        <w:t xml:space="preserve">b) Cơ quan thuế cấp tỉnh quản lý trực tiếp người nộp thuế lập và gửi hồ sơ đề nghị xóa nợ đến Cục Thuế để thẩm định. Trường hợp không thuộc đối tượng xóa nợ thì Cục Thuế thông báo cho cơ quan thuế cấp tỉnh theo </w:t>
      </w:r>
      <w:bookmarkStart w:id="34" w:name="bieumau_ms_02_xoano_80_2021_tt_btc_2"/>
      <w:r>
        <w:rPr>
          <w:rtl w:val="0"/>
        </w:rPr>
        <w:t>Mẫu số 02/XOANO</w:t>
      </w:r>
      <w:bookmarkEnd w:id="34"/>
      <w:r>
        <w:rPr>
          <w:rtl w:val="0"/>
        </w:rPr>
        <w:t xml:space="preserve"> ban hành kèm theo Thông tư số </w:t>
      </w:r>
      <w:bookmarkStart w:id="35" w:name="tvpllink_fhqehvsinf_3"/>
      <w:r>
        <w:rPr>
          <w:rtl w:val="0"/>
        </w:rPr>
        <w:t>80/2021/TT-BTC</w:t>
      </w:r>
      <w:bookmarkEnd w:id="35"/>
      <w:r>
        <w:rPr>
          <w:rtl w:val="0"/>
        </w:rPr>
        <w:t xml:space="preserve"> ngày 29 tháng 9 năm 2021 của Bộ Tài chính; trường hợp thuộc đối tượng xóa nợ thì Cục Thuế dự thảo quyết định xóa nợ theo </w:t>
      </w:r>
      <w:bookmarkStart w:id="36" w:name="bieumau_ms_06_xoano_80_2021_tt_btc_1"/>
      <w:r>
        <w:rPr>
          <w:rtl w:val="0"/>
        </w:rPr>
        <w:t>Mẫu số 06/XOANO</w:t>
      </w:r>
      <w:bookmarkEnd w:id="36"/>
      <w:r>
        <w:rPr>
          <w:rtl w:val="0"/>
        </w:rPr>
        <w:t xml:space="preserve"> ban hành kèm theo Thông tư số </w:t>
      </w:r>
      <w:bookmarkStart w:id="37" w:name="tvpllink_fhqehvsinf_4"/>
      <w:r>
        <w:rPr>
          <w:rtl w:val="0"/>
        </w:rPr>
        <w:t>80/2021/TT-BTC</w:t>
      </w:r>
      <w:bookmarkEnd w:id="37"/>
      <w:r>
        <w:rPr>
          <w:rtl w:val="0"/>
        </w:rPr>
        <w:t xml:space="preserve"> ngày 29 tháng 9 năm 2021 của Bộ Tài chính trình Bộ trưởng Bộ Tài chính xem xét, quyết định.</w:t>
      </w:r>
    </w:p>
    <w:p>
      <w:pPr>
        <w:bidi w:val="0"/>
        <w:spacing w:before="120" w:beforeAutospacing="0" w:after="280" w:afterAutospacing="1"/>
        <w:rPr>
          <w:rtl w:val="0"/>
        </w:rPr>
      </w:pPr>
      <w:bookmarkStart w:id="38" w:name="dieu_6"/>
      <w:r>
        <w:rPr>
          <w:b/>
          <w:bCs/>
          <w:rtl w:val="0"/>
        </w:rPr>
        <w:t>Điều 6. Dịch vụ hóa đơn điện tử</w:t>
      </w:r>
      <w:bookmarkEnd w:id="38"/>
    </w:p>
    <w:p>
      <w:pPr>
        <w:bidi w:val="0"/>
        <w:spacing w:before="120" w:beforeAutospacing="0" w:after="280" w:afterAutospacing="1"/>
        <w:rPr>
          <w:rtl w:val="0"/>
        </w:rPr>
      </w:pPr>
      <w:r>
        <w:rPr>
          <w:rtl w:val="0"/>
        </w:rPr>
        <w:t xml:space="preserve">1. Dịch vụ về hóa đơn điện tử và trường hợp sử dụng hóa đơn điện tử có mã của cơ quan thuế không phải trả tiền dịch vụ, trường hợp sử dụng hóa đơn điện tử có mã của cơ quan thuế phải trả tiền dịch vụ, trường hợp sử dụng hóa đơn điện tử không có mã của cơ quan thuế thông qua tổ chức cung cấp dịch vụ về hóa đơn điện tử theo quy định tại </w:t>
      </w:r>
      <w:bookmarkStart w:id="39" w:name="dc_8"/>
      <w:r>
        <w:rPr>
          <w:rtl w:val="0"/>
        </w:rPr>
        <w:t>khoản 3 Điều 92 Luật Quản lý thuế số 38/2019/QH14</w:t>
      </w:r>
      <w:bookmarkEnd w:id="39"/>
      <w:r>
        <w:rPr>
          <w:rtl w:val="0"/>
        </w:rPr>
        <w:t xml:space="preserve"> ngày 13 tháng 6 năm 2019 do Bộ trưởng Bộ Tài chính hướng dẫn.</w:t>
      </w:r>
    </w:p>
    <w:p>
      <w:pPr>
        <w:bidi w:val="0"/>
        <w:spacing w:before="120" w:beforeAutospacing="0" w:after="280" w:afterAutospacing="1"/>
        <w:rPr>
          <w:rtl w:val="0"/>
        </w:rPr>
      </w:pPr>
      <w:r>
        <w:rPr>
          <w:rtl w:val="0"/>
        </w:rPr>
        <w:t>2. Trình tự, thủ tục thực hiện nhiệm vụ</w:t>
      </w:r>
    </w:p>
    <w:p>
      <w:pPr>
        <w:bidi w:val="0"/>
        <w:spacing w:before="120" w:beforeAutospacing="0" w:after="280" w:afterAutospacing="1"/>
        <w:rPr>
          <w:rtl w:val="0"/>
        </w:rPr>
      </w:pPr>
      <w:r>
        <w:rPr>
          <w:rtl w:val="0"/>
        </w:rPr>
        <w:t xml:space="preserve">Dịch vụ hoá đơn điện tử và trường hợp sử dụng hóa đơn điện tử có mã của cơ quan thuế không phải trả tiền dịch vụ, trường hợp sử dụng hóa đơn điện tử có mã của cơ quan thuế phải trả tiền dịch vụ, trường hợp sử dụng hóa đơn điện tử không có mã của cơ quan thuế thông qua tổ chức cung cấp dịch vụ về hóa đơn điện tử thực hiện theo </w:t>
      </w:r>
      <w:bookmarkStart w:id="40" w:name="tc_5"/>
      <w:r>
        <w:rPr>
          <w:rtl w:val="0"/>
        </w:rPr>
        <w:t>điểm 5 Phụ lục ban hành kèm theo Nghị định này</w:t>
      </w:r>
      <w:bookmarkEnd w:id="40"/>
      <w:r>
        <w:rPr>
          <w:rtl w:val="0"/>
        </w:rPr>
        <w:t>.</w:t>
      </w:r>
    </w:p>
    <w:p>
      <w:pPr>
        <w:bidi w:val="0"/>
        <w:spacing w:before="120" w:beforeAutospacing="0" w:after="280" w:afterAutospacing="1"/>
        <w:rPr>
          <w:rtl w:val="0"/>
        </w:rPr>
      </w:pPr>
      <w:bookmarkStart w:id="41" w:name="dieu_7"/>
      <w:r>
        <w:rPr>
          <w:b/>
          <w:bCs/>
          <w:rtl w:val="0"/>
        </w:rPr>
        <w:t>Điều 7. Trách nhiệm của Bộ Tài chính</w:t>
      </w:r>
      <w:bookmarkEnd w:id="41"/>
    </w:p>
    <w:p>
      <w:pPr>
        <w:bidi w:val="0"/>
        <w:spacing w:before="120" w:beforeAutospacing="0" w:after="280" w:afterAutospacing="1"/>
        <w:rPr>
          <w:rtl w:val="0"/>
        </w:rPr>
      </w:pPr>
      <w:r>
        <w:rPr>
          <w:rtl w:val="0"/>
        </w:rPr>
        <w:t>1. Rà soát, sửa đổi, bổ sung hoặc đề xuất cấp có thẩm quyền sửa đổi, bổ sung các văn bản quy phạm pháp luật có liên quan để bảo đảm phù hợp với quy định tại Nghị định này.</w:t>
      </w:r>
    </w:p>
    <w:p>
      <w:pPr>
        <w:bidi w:val="0"/>
        <w:spacing w:before="120" w:beforeAutospacing="0" w:after="280" w:afterAutospacing="1"/>
        <w:rPr>
          <w:rtl w:val="0"/>
        </w:rPr>
      </w:pPr>
      <w:r>
        <w:rPr>
          <w:rtl w:val="0"/>
        </w:rPr>
        <w:t>2. Tổ chức đào tạo, tập huấn, hướng dẫn nghiệp vụ cho cơ quan quản lý thuế để thực hiện hiệu quả các nhiệm vụ được phân cấp, phân quyền.</w:t>
      </w:r>
    </w:p>
    <w:p>
      <w:pPr>
        <w:bidi w:val="0"/>
        <w:spacing w:before="120" w:beforeAutospacing="0" w:after="280" w:afterAutospacing="1"/>
        <w:rPr>
          <w:rtl w:val="0"/>
        </w:rPr>
      </w:pPr>
      <w:bookmarkStart w:id="42" w:name="chuong_3"/>
      <w:r>
        <w:rPr>
          <w:b/>
          <w:bCs/>
          <w:rtl w:val="0"/>
        </w:rPr>
        <w:t>Chương III</w:t>
      </w:r>
      <w:bookmarkEnd w:id="42"/>
    </w:p>
    <w:p>
      <w:pPr>
        <w:bidi w:val="0"/>
        <w:spacing w:before="120" w:beforeAutospacing="0" w:after="280" w:afterAutospacing="1"/>
        <w:jc w:val="center"/>
        <w:rPr>
          <w:rtl w:val="0"/>
        </w:rPr>
      </w:pPr>
      <w:bookmarkStart w:id="43" w:name="chuong_3_name"/>
      <w:r>
        <w:rPr>
          <w:b/>
          <w:bCs/>
          <w:sz w:val="24"/>
          <w:rtl w:val="0"/>
        </w:rPr>
        <w:t>PHÂN CẤP TRONG LĨNH VỰC QUẢN LÝ THUẾ</w:t>
      </w:r>
      <w:bookmarkEnd w:id="43"/>
    </w:p>
    <w:p>
      <w:pPr>
        <w:bidi w:val="0"/>
        <w:spacing w:before="120" w:beforeAutospacing="0" w:after="280" w:afterAutospacing="1"/>
        <w:rPr>
          <w:rtl w:val="0"/>
        </w:rPr>
      </w:pPr>
      <w:bookmarkStart w:id="44" w:name="dieu_8"/>
      <w:r>
        <w:rPr>
          <w:b/>
          <w:bCs/>
          <w:rtl w:val="0"/>
        </w:rPr>
        <w:t>Điều 8. Việc áp dụng cơ chế thỏa thuận trước về phương pháp xác định giá tính thuế đối với doanh nghiệp có giao dịch liên kết (APA)</w:t>
      </w:r>
      <w:bookmarkEnd w:id="44"/>
    </w:p>
    <w:p>
      <w:pPr>
        <w:bidi w:val="0"/>
        <w:spacing w:before="120" w:beforeAutospacing="0" w:after="280" w:afterAutospacing="1"/>
        <w:rPr>
          <w:rtl w:val="0"/>
        </w:rPr>
      </w:pPr>
      <w:r>
        <w:rPr>
          <w:rtl w:val="0"/>
        </w:rPr>
        <w:t xml:space="preserve">1. Bộ trưởng Bộ Tài chính thực hiện thẩm quyền cho ý kiến và quyết định ký nội dung APA đối với các APA song phương, đa phương có sự tham gia của cơ quan thuế nước ngoài theo quy định tại </w:t>
      </w:r>
      <w:bookmarkStart w:id="45" w:name="dc_9"/>
      <w:r>
        <w:rPr>
          <w:rtl w:val="0"/>
        </w:rPr>
        <w:t>khoản 5 Điều 41 Nghị định số 126/2020/NĐ-CP</w:t>
      </w:r>
      <w:bookmarkEnd w:id="45"/>
      <w:r>
        <w:rPr>
          <w:rtl w:val="0"/>
        </w:rPr>
        <w:t xml:space="preserve"> ngày 19 tháng 10 năm 2020 của Chính phủ.</w:t>
      </w:r>
    </w:p>
    <w:p>
      <w:pPr>
        <w:bidi w:val="0"/>
        <w:spacing w:before="120" w:beforeAutospacing="0" w:after="280" w:afterAutospacing="1"/>
        <w:rPr>
          <w:rtl w:val="0"/>
        </w:rPr>
      </w:pPr>
      <w:r>
        <w:rPr>
          <w:rtl w:val="0"/>
        </w:rPr>
        <w:t xml:space="preserve">2. Bộ trưởng Bộ Tài chính thực hiện thẩm quyền quyết định thời điểm bắt đầu có hiệu lực của APA song phương hoặc đa phương theo quy định tại </w:t>
      </w:r>
      <w:bookmarkStart w:id="46" w:name="dc_10"/>
      <w:r>
        <w:rPr>
          <w:rtl w:val="0"/>
        </w:rPr>
        <w:t>khoản 7 Điều 41 Nghị định số 126/2020/NĐ-CP</w:t>
      </w:r>
      <w:bookmarkEnd w:id="46"/>
      <w:r>
        <w:rPr>
          <w:rtl w:val="0"/>
        </w:rPr>
        <w:t xml:space="preserve"> ngày 19 tháng 10 năm 2020 của Chính phủ.</w:t>
      </w:r>
    </w:p>
    <w:p>
      <w:pPr>
        <w:bidi w:val="0"/>
        <w:spacing w:before="120" w:beforeAutospacing="0" w:after="280" w:afterAutospacing="1"/>
        <w:rPr>
          <w:rtl w:val="0"/>
        </w:rPr>
      </w:pPr>
      <w:r>
        <w:rPr>
          <w:rtl w:val="0"/>
        </w:rPr>
        <w:t>3. Trình tự, thủ tục thực hiện như sau:</w:t>
      </w:r>
    </w:p>
    <w:p>
      <w:pPr>
        <w:bidi w:val="0"/>
        <w:spacing w:before="120" w:beforeAutospacing="0" w:after="280" w:afterAutospacing="1"/>
        <w:rPr>
          <w:rtl w:val="0"/>
        </w:rPr>
      </w:pPr>
      <w:r>
        <w:rPr>
          <w:rtl w:val="0"/>
        </w:rPr>
        <w:t>a) Cục Thuế trao đổi, đàm phán nội dung về APA với người nộp thuế và cơ quan thuế nước ngoài, xây dựng phương án đàm phán xin ý kiến các bộ ngành liên quan (nếu cần thiết) và trình Bộ trưởng Bộ Tài chính phê duyệt trước khi tiến hành đàm phán.</w:t>
      </w:r>
    </w:p>
    <w:p>
      <w:pPr>
        <w:bidi w:val="0"/>
        <w:spacing w:before="120" w:beforeAutospacing="0" w:after="280" w:afterAutospacing="1"/>
        <w:rPr>
          <w:rtl w:val="0"/>
        </w:rPr>
      </w:pPr>
      <w:r>
        <w:rPr>
          <w:rtl w:val="0"/>
        </w:rPr>
        <w:t>b) Cục Thuế thực hiện trao đổi, đàm phán với người nộp thuế và cơ quan thuế nước ngoài về nội dung APA theo phương án đã được phê duyệt. Trên cơ sở nội dung đàm phán, Cục Thuế xây dựng dự thảo APA và trình Bộ trưởng Bộ Tài chính ký APA.</w:t>
      </w:r>
    </w:p>
    <w:p>
      <w:pPr>
        <w:bidi w:val="0"/>
        <w:spacing w:before="120" w:beforeAutospacing="0" w:after="280" w:afterAutospacing="1"/>
        <w:rPr>
          <w:rtl w:val="0"/>
        </w:rPr>
      </w:pPr>
      <w:bookmarkStart w:id="47" w:name="chuong_4"/>
      <w:r>
        <w:rPr>
          <w:b/>
          <w:bCs/>
          <w:rtl w:val="0"/>
        </w:rPr>
        <w:t>Chương IV</w:t>
      </w:r>
      <w:bookmarkEnd w:id="47"/>
    </w:p>
    <w:p>
      <w:pPr>
        <w:bidi w:val="0"/>
        <w:spacing w:before="120" w:beforeAutospacing="0" w:after="280" w:afterAutospacing="1"/>
        <w:jc w:val="center"/>
        <w:rPr>
          <w:rtl w:val="0"/>
        </w:rPr>
      </w:pPr>
      <w:bookmarkStart w:id="48" w:name="chuong_4_name"/>
      <w:r>
        <w:rPr>
          <w:b/>
          <w:bCs/>
          <w:sz w:val="24"/>
          <w:rtl w:val="0"/>
        </w:rPr>
        <w:t>ĐIỀU KHOẢN THI HÀNH</w:t>
      </w:r>
      <w:bookmarkEnd w:id="48"/>
    </w:p>
    <w:p>
      <w:pPr>
        <w:bidi w:val="0"/>
        <w:spacing w:before="120" w:beforeAutospacing="0" w:after="280" w:afterAutospacing="1"/>
        <w:rPr>
          <w:rtl w:val="0"/>
        </w:rPr>
      </w:pPr>
      <w:bookmarkStart w:id="49" w:name="dieu_9"/>
      <w:r>
        <w:rPr>
          <w:b/>
          <w:bCs/>
          <w:rtl w:val="0"/>
        </w:rPr>
        <w:t>Điều 9. Điều khoản chuyển tiếp</w:t>
      </w:r>
      <w:bookmarkEnd w:id="49"/>
    </w:p>
    <w:p>
      <w:pPr>
        <w:bidi w:val="0"/>
        <w:spacing w:before="120" w:beforeAutospacing="0" w:after="280" w:afterAutospacing="1"/>
        <w:rPr>
          <w:rtl w:val="0"/>
        </w:rPr>
      </w:pPr>
      <w:r>
        <w:rPr>
          <w:rtl w:val="0"/>
        </w:rPr>
        <w:t xml:space="preserve">1. Đối với các hồ sơ đã được trình Thủ tướng Chính phủ trước ngày Nghị định này có hiệu lực thi hành nhưng chưa có quyết định xoá nợ thì Thủ tướng Chính phủ tiếp tục xử lý theo thẩm quyền quy định tại </w:t>
      </w:r>
      <w:bookmarkStart w:id="50" w:name="dc_11"/>
      <w:r>
        <w:rPr>
          <w:rtl w:val="0"/>
        </w:rPr>
        <w:t>khoản 4 Điều 87 Luật Quản lý thuế số 38/2019/QH14</w:t>
      </w:r>
      <w:bookmarkEnd w:id="50"/>
      <w:r>
        <w:rPr>
          <w:rtl w:val="0"/>
        </w:rPr>
        <w:t xml:space="preserve"> ngày 13 tháng 6 năm 2019.</w:t>
      </w:r>
    </w:p>
    <w:p>
      <w:pPr>
        <w:bidi w:val="0"/>
        <w:spacing w:before="120" w:beforeAutospacing="0" w:after="280" w:afterAutospacing="1"/>
        <w:rPr>
          <w:rtl w:val="0"/>
        </w:rPr>
      </w:pPr>
      <w:r>
        <w:rPr>
          <w:rtl w:val="0"/>
        </w:rPr>
        <w:t>2. Đối với các hồ sơ đề nghị áp dụng APA song phương, đa phương đã nộp cho cơ quan thuế trước ngày Nghị định này có hiệu lực thi hành và chưa được báo cáo Chính phủ, Thủ tướng Chính phủ thì thẩm quyền phê duyệt, ký APA song phương, đa phương thực hiện theo quy định tại Nghị định này.</w:t>
      </w:r>
    </w:p>
    <w:p>
      <w:pPr>
        <w:bidi w:val="0"/>
        <w:spacing w:before="120" w:beforeAutospacing="0" w:after="280" w:afterAutospacing="1"/>
        <w:rPr>
          <w:rtl w:val="0"/>
        </w:rPr>
      </w:pPr>
      <w:bookmarkStart w:id="51" w:name="dieu_10"/>
      <w:r>
        <w:rPr>
          <w:b/>
          <w:bCs/>
          <w:rtl w:val="0"/>
        </w:rPr>
        <w:t>Điều 10. Hiệu lực thi hành và tổ chức thực hiện</w:t>
      </w:r>
      <w:bookmarkEnd w:id="51"/>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Tài chính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r>
        <w:rPr>
          <w:rtl w:val="0"/>
        </w:rPr>
        <w:t>4.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52" w:name="chuong_pl"/>
      <w:r>
        <w:rPr>
          <w:b/>
          <w:bCs/>
          <w:sz w:val="24"/>
          <w:rtl w:val="0"/>
        </w:rPr>
        <w:t>PHỤ LỤC</w:t>
      </w:r>
      <w:bookmarkEnd w:id="52"/>
    </w:p>
    <w:p>
      <w:pPr>
        <w:bidi w:val="0"/>
        <w:spacing w:before="120" w:beforeAutospacing="0" w:after="280" w:afterAutospacing="1"/>
        <w:jc w:val="center"/>
        <w:rPr>
          <w:rtl w:val="0"/>
        </w:rPr>
      </w:pPr>
      <w:bookmarkStart w:id="53" w:name="chuong_pl_name"/>
      <w:r>
        <w:rPr>
          <w:rtl w:val="0"/>
        </w:rPr>
        <w:t>TRÌNH TỰ, THỦ TỤC THỰC HIỆN NHIỆM VỤ PHÂN QUYỀN TRONG LĨNH VỰC QUẢN LÝ THUẾ</w:t>
      </w:r>
      <w:bookmarkEnd w:id="53"/>
      <w:r>
        <w:rPr>
          <w:rtl w:val="0"/>
        </w:rPr>
        <w:br/>
      </w:r>
      <w:r>
        <w:rPr>
          <w:i/>
          <w:iCs/>
          <w:rtl w:val="0"/>
        </w:rPr>
        <w:t>(Kèm theo Nghị định số 122/2025/NĐ-CP ngày 11 tháng 6 năm 2025 của Chính phủ)</w:t>
      </w:r>
    </w:p>
    <w:p>
      <w:pPr>
        <w:bidi w:val="0"/>
        <w:spacing w:before="120" w:beforeAutospacing="0" w:after="280" w:afterAutospacing="1"/>
        <w:rPr>
          <w:rtl w:val="0"/>
        </w:rPr>
      </w:pPr>
      <w:r>
        <w:rPr>
          <w:rtl w:val="0"/>
        </w:rPr>
        <w:t xml:space="preserve">1. Hồ sơ khai thuế, loại thuế khai theo tháng, khai theo quý, khai theo năm, khai theo từng lần phát sinh nghĩa vụ thuế, khai quyết toán thuế; khai các khoản phải nộp về phí, lệ phí do cơ quan đại diện nước Cộng hòa xã hội chủ nghĩa Việt Nam ở nước ngoài thực hiện thu; kê khai, cung cấp, trao đổi, sử dụng thông tin đối với báo cáo lợi nhuận liên quốc gia; tiêu chí xác định người nộp thuế để khai thuế theo quý thực hiện theo quy định tại </w:t>
      </w:r>
      <w:bookmarkStart w:id="54" w:name="dc_12"/>
      <w:r>
        <w:rPr>
          <w:rtl w:val="0"/>
        </w:rPr>
        <w:t>Điều 7, Điều 8, Điều 9, Điều 12 Nghị định số 126/2020/NĐ-CP</w:t>
      </w:r>
      <w:bookmarkEnd w:id="54"/>
      <w:r>
        <w:rPr>
          <w:rtl w:val="0"/>
        </w:rPr>
        <w:t xml:space="preserve"> ngày 19 tháng 10 năm 2020 và </w:t>
      </w:r>
      <w:bookmarkStart w:id="55" w:name="dc_13"/>
      <w:r>
        <w:rPr>
          <w:rtl w:val="0"/>
        </w:rPr>
        <w:t>khoản 3, 4, 5 Điều 1, khoản 1 Điều 2 Nghị định số 91/2022/NĐ-CP</w:t>
      </w:r>
      <w:bookmarkEnd w:id="55"/>
      <w:r>
        <w:rPr>
          <w:rtl w:val="0"/>
        </w:rPr>
        <w:t xml:space="preserve"> ngày 30 tháng 10 năm 2022 của Chính phủ.</w:t>
      </w:r>
    </w:p>
    <w:p>
      <w:pPr>
        <w:bidi w:val="0"/>
        <w:spacing w:before="120" w:beforeAutospacing="0" w:after="280" w:afterAutospacing="1"/>
        <w:rPr>
          <w:rtl w:val="0"/>
        </w:rPr>
      </w:pPr>
      <w:r>
        <w:rPr>
          <w:rtl w:val="0"/>
        </w:rPr>
        <w:t xml:space="preserve">2. Thời hạn nộp hồ sơ khai thuế đối với thuế sử dụng đất nông nghiệp; thuế sử dụng đất phi nông nghiệp; tiền sử dụng đất; tiền thuê đất, thuê mặt nước; tiền cấp quyền khai thác khoáng sản; tiền cấp quyền khai thác tài nguyên nước; lệ phí trước bạ; lệ phí môn bài; khoản thu vào ngân sách nhà nước theo quy định của pháp luật về quản lý, sử dụng tài sản công; báo cáo lợi nhuận liên quốc gia thực hiện theo quy định tại </w:t>
      </w:r>
      <w:bookmarkStart w:id="56" w:name="dc_14"/>
      <w:r>
        <w:rPr>
          <w:rtl w:val="0"/>
        </w:rPr>
        <w:t>Điều 10 Nghị định số 126/2020/NĐ-CP</w:t>
      </w:r>
      <w:bookmarkEnd w:id="56"/>
      <w:r>
        <w:rPr>
          <w:rtl w:val="0"/>
        </w:rPr>
        <w:t xml:space="preserve"> ngày 19 tháng 10 năm 2020 của Chính phủ.</w:t>
      </w:r>
    </w:p>
    <w:p>
      <w:pPr>
        <w:bidi w:val="0"/>
        <w:spacing w:before="120" w:beforeAutospacing="0" w:after="280" w:afterAutospacing="1"/>
        <w:rPr>
          <w:rtl w:val="0"/>
        </w:rPr>
      </w:pPr>
      <w:r>
        <w:rPr>
          <w:rtl w:val="0"/>
        </w:rPr>
        <w:t xml:space="preserve">3. Địa điểm nộp hồ sơ khai thuế đối với người nộp thuế có nhiều hoạt động sản xuất, kinh doanh; người nộp thuế thực hiện hoạt động sản xuất, kinh doanh ở nhiều địa bàn; người nộp thuế có phát sinh nghĩa vụ thuế đối với các loại thuế khai và nộp theo từng lần phát sinh, các khoản thu từ đất, cấp quyền khai thác tài nguyên nước, tài nguyên khoáng sản, quyết toán thuế thu nhập cá nhân; và người nộp thuế thực hiện khai thuế thông qua giao dịch điện tử cùng các trường hợp cần thiết khác thực hiện theo quy định tại </w:t>
      </w:r>
      <w:bookmarkStart w:id="57" w:name="dc_15"/>
      <w:r>
        <w:rPr>
          <w:rtl w:val="0"/>
        </w:rPr>
        <w:t>Điều 11 Nghị định số 126/2020/NĐ-CP</w:t>
      </w:r>
      <w:bookmarkEnd w:id="57"/>
      <w:r>
        <w:rPr>
          <w:rtl w:val="0"/>
        </w:rPr>
        <w:t xml:space="preserve"> ngày 19 tháng 10 năm 2020 và </w:t>
      </w:r>
      <w:bookmarkStart w:id="58" w:name="dc_16"/>
      <w:r>
        <w:rPr>
          <w:rtl w:val="0"/>
        </w:rPr>
        <w:t>khoản 6 Điều 1 Nghị định số 91/2022/NĐ-CP</w:t>
      </w:r>
      <w:bookmarkEnd w:id="58"/>
      <w:r>
        <w:rPr>
          <w:rtl w:val="0"/>
        </w:rPr>
        <w:t xml:space="preserve"> ngày 30 tháng 10 năm 2022 của Chính phủ.</w:t>
      </w:r>
    </w:p>
    <w:p>
      <w:pPr>
        <w:bidi w:val="0"/>
        <w:spacing w:before="120" w:beforeAutospacing="0" w:after="280" w:afterAutospacing="1"/>
        <w:rPr>
          <w:rtl w:val="0"/>
        </w:rPr>
      </w:pPr>
      <w:r>
        <w:rPr>
          <w:rtl w:val="0"/>
        </w:rPr>
        <w:t xml:space="preserve">4. Thủ tục, hồ sơ, thời gian khoanh nợ đối với trường hợp được khoanh nợ thực hiện theo quy định tại </w:t>
      </w:r>
      <w:bookmarkStart w:id="59" w:name="dc_17"/>
      <w:r>
        <w:rPr>
          <w:rtl w:val="0"/>
        </w:rPr>
        <w:t>Điều 23 Nghị định số 126/2020/NĐ-CP</w:t>
      </w:r>
      <w:bookmarkEnd w:id="59"/>
      <w:r>
        <w:rPr>
          <w:rtl w:val="0"/>
        </w:rPr>
        <w:t xml:space="preserve"> ngày 19 tháng 10 năm 2020 của Chính phủ.</w:t>
      </w:r>
    </w:p>
    <w:p>
      <w:pPr>
        <w:bidi w:val="0"/>
        <w:spacing w:before="120" w:beforeAutospacing="0" w:after="280" w:afterAutospacing="1"/>
        <w:rPr>
          <w:rtl w:val="0"/>
        </w:rPr>
      </w:pPr>
      <w:r>
        <w:rPr>
          <w:rtl w:val="0"/>
        </w:rPr>
        <w:t xml:space="preserve">5. Dịch vụ hoá đơn điện tử và trường hợp sử dụng hóa đơn điện tử có mã của cơ quan thuế không phải trả tiền dịch vụ, trường hợp sử dụng hóa đơn điện tử có mã của cơ quan thuế phải trả tiền dịch vụ, trường hợp sử dụng hóa đơn điện tử không có mã của cơ quan thuế thông qua tổ chức cung cấp dịch vụ về hóa đơn điện tử thực hiện theo quy định tại Nghị định số </w:t>
      </w:r>
      <w:bookmarkStart w:id="60" w:name="tvpllink_yqyarnulqa"/>
      <w:r>
        <w:rPr>
          <w:rtl w:val="0"/>
        </w:rPr>
        <w:t>123/2020/NĐ-CP</w:t>
      </w:r>
      <w:bookmarkEnd w:id="60"/>
      <w:r>
        <w:rPr>
          <w:rtl w:val="0"/>
        </w:rPr>
        <w:t xml:space="preserve"> ngày 19 tháng 10 năm 2020 và Nghị định số </w:t>
      </w:r>
      <w:bookmarkStart w:id="61" w:name="tvpllink_ucyojzizsw"/>
      <w:r>
        <w:rPr>
          <w:rtl w:val="0"/>
        </w:rPr>
        <w:t>70/2025/NĐ-CP</w:t>
      </w:r>
      <w:bookmarkEnd w:id="61"/>
      <w:r>
        <w:rPr>
          <w:rtl w:val="0"/>
        </w:rPr>
        <w:t xml:space="preserve"> ngày 20 tháng 3 năm 2025 của Chính phủ.</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