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130/2025/NĐ-CP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11 tháng 6 năm 2025</w:t>
            </w:r>
          </w:p>
        </w:tc>
      </w:tr>
    </w:tbl>
    <w:p>
      <w:pPr>
        <w:bidi w:val="0"/>
        <w:spacing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VỀ PHÂN QUYỀN, PHÂN CẤP TRONG LĨNH VỰC THỐNG KÊ</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năm 2025</w:t>
      </w:r>
      <w:bookmarkEnd w:id="2"/>
      <w:r>
        <w:rPr>
          <w:i/>
          <w:iCs/>
          <w:rtl w:val="0"/>
        </w:rPr>
        <w:t>;</w:t>
      </w:r>
    </w:p>
    <w:p>
      <w:pPr>
        <w:bidi w:val="0"/>
        <w:spacing w:before="120" w:beforeAutospacing="0" w:after="280" w:afterAutospacing="1"/>
      </w:pPr>
      <w:r>
        <w:rPr>
          <w:i/>
          <w:iCs/>
          <w:rtl w:val="0"/>
        </w:rPr>
        <w:t xml:space="preserve">Căn cứ </w:t>
      </w:r>
      <w:bookmarkStart w:id="3" w:name="tvpllink_aarfhuvvql"/>
      <w:r>
        <w:rPr>
          <w:i/>
          <w:iCs/>
          <w:rtl w:val="0"/>
        </w:rPr>
        <w:t>Luật Tổ chức chính quyền địa phương năm 2025</w:t>
      </w:r>
      <w:bookmarkEnd w:id="3"/>
      <w:r>
        <w:rPr>
          <w:i/>
          <w:iCs/>
          <w:rtl w:val="0"/>
        </w:rPr>
        <w:t>;</w:t>
      </w:r>
    </w:p>
    <w:p>
      <w:pPr>
        <w:bidi w:val="0"/>
        <w:spacing w:before="120" w:beforeAutospacing="0" w:after="280" w:afterAutospacing="1"/>
      </w:pPr>
      <w:r>
        <w:rPr>
          <w:i/>
          <w:iCs/>
          <w:rtl w:val="0"/>
        </w:rPr>
        <w:t xml:space="preserve">Căn cứ Nghị quyết số </w:t>
      </w:r>
      <w:bookmarkStart w:id="4" w:name="tvpllink_awblkhdkux"/>
      <w:r>
        <w:rPr>
          <w:i/>
          <w:iCs/>
          <w:rtl w:val="0"/>
        </w:rPr>
        <w:t>190/2025/QH15</w:t>
      </w:r>
      <w:bookmarkEnd w:id="4"/>
      <w:r>
        <w:rPr>
          <w:i/>
          <w:iCs/>
          <w:rtl w:val="0"/>
        </w:rPr>
        <w:t xml:space="preserve"> ngày 19 tháng 02 năm 2025 của Quốc hội quy định về xử lý một số vấn đề liên quan đến sắp xếp tổ chức bộ máy nhà nước;</w:t>
      </w:r>
    </w:p>
    <w:p>
      <w:pPr>
        <w:bidi w:val="0"/>
        <w:spacing w:before="120" w:beforeAutospacing="0" w:after="280" w:afterAutospacing="1"/>
      </w:pPr>
      <w:r>
        <w:rPr>
          <w:i/>
          <w:iCs/>
          <w:rtl w:val="0"/>
        </w:rPr>
        <w:t>Theo đề nghị của Bộ trưởng Bộ Tài chính;</w:t>
      </w:r>
    </w:p>
    <w:p>
      <w:pPr>
        <w:bidi w:val="0"/>
        <w:spacing w:before="120" w:beforeAutospacing="0" w:after="280" w:afterAutospacing="1"/>
      </w:pPr>
      <w:r>
        <w:rPr>
          <w:i/>
          <w:iCs/>
          <w:rtl w:val="0"/>
        </w:rPr>
        <w:t>Chính phủ ban hành Nghị định quy định về phân quyền, phân cấp trong lĩnh vực thống kê.</w:t>
      </w:r>
    </w:p>
    <w:p>
      <w:pPr>
        <w:bidi w:val="0"/>
        <w:spacing w:before="120" w:beforeAutospacing="0" w:after="280" w:afterAutospacing="1"/>
      </w:pPr>
      <w:bookmarkStart w:id="5" w:name="dieu_1"/>
      <w:r>
        <w:rPr>
          <w:b/>
          <w:bCs/>
          <w:rtl w:val="0"/>
        </w:rPr>
        <w:t>Điều 1. Phạm vi điều chỉnh</w:t>
      </w:r>
      <w:bookmarkEnd w:id="5"/>
    </w:p>
    <w:p>
      <w:pPr>
        <w:bidi w:val="0"/>
        <w:spacing w:before="120" w:beforeAutospacing="0" w:after="280" w:afterAutospacing="1"/>
      </w:pPr>
      <w:r>
        <w:rPr>
          <w:rtl w:val="0"/>
        </w:rPr>
        <w:t>Nghị định này quy định thẩm quyền trong lĩnh vực thống kê được quy định tại luật, nghị định của Chính phủ cần điều chỉnh để thực hiện phân quyền, phân cấp.</w:t>
      </w:r>
    </w:p>
    <w:p>
      <w:pPr>
        <w:bidi w:val="0"/>
        <w:spacing w:before="120" w:beforeAutospacing="0" w:after="280" w:afterAutospacing="1"/>
      </w:pPr>
      <w:bookmarkStart w:id="6" w:name="dieu_2"/>
      <w:r>
        <w:rPr>
          <w:b/>
          <w:bCs/>
          <w:rtl w:val="0"/>
        </w:rPr>
        <w:t>Điều 2. Nguyên tắc phân quyền, phân cấp</w:t>
      </w:r>
      <w:bookmarkEnd w:id="6"/>
    </w:p>
    <w:p>
      <w:pPr>
        <w:bidi w:val="0"/>
        <w:spacing w:before="120" w:beforeAutospacing="0" w:after="280" w:afterAutospacing="1"/>
      </w:pPr>
      <w:r>
        <w:rPr>
          <w:rtl w:val="0"/>
        </w:rPr>
        <w:t xml:space="preserve">1. Bảo đảm phù hợp với quy định của </w:t>
      </w:r>
      <w:bookmarkStart w:id="7" w:name="tvpllink_khhhnejlqt"/>
      <w:r>
        <w:rPr>
          <w:rtl w:val="0"/>
        </w:rPr>
        <w:t>Hiến pháp</w:t>
      </w:r>
      <w:bookmarkEnd w:id="7"/>
      <w:r>
        <w:rPr>
          <w:rtl w:val="0"/>
        </w:rPr>
        <w:t xml:space="preserve">; phù hợp với các nguyên tắc, quy định về phân quyền, phân cấp của </w:t>
      </w:r>
      <w:bookmarkStart w:id="8" w:name="tvpllink_oztzitmbya_1"/>
      <w:r>
        <w:rPr>
          <w:rtl w:val="0"/>
        </w:rPr>
        <w:t>Luật Tổ chức Chính phủ</w:t>
      </w:r>
      <w:bookmarkEnd w:id="8"/>
      <w:r>
        <w:rPr>
          <w:rtl w:val="0"/>
        </w:rPr>
        <w:t xml:space="preserve">, </w:t>
      </w:r>
      <w:bookmarkStart w:id="9" w:name="tvpllink_aarfhuvvql_1"/>
      <w:r>
        <w:rPr>
          <w:rtl w:val="0"/>
        </w:rPr>
        <w:t>Luật Tổ chức chính quyền địa phương</w:t>
      </w:r>
      <w:bookmarkEnd w:id="9"/>
      <w:r>
        <w:rPr>
          <w:rtl w:val="0"/>
        </w:rPr>
        <w:t>.</w:t>
      </w:r>
    </w:p>
    <w:p>
      <w:pPr>
        <w:bidi w:val="0"/>
        <w:spacing w:before="120" w:beforeAutospacing="0" w:after="280" w:afterAutospacing="1"/>
      </w:pPr>
      <w:r>
        <w:rPr>
          <w:rtl w:val="0"/>
        </w:rPr>
        <w:t>2. Bảo đảm phân cấp triệt để các nhiệm vụ giữa cơ quan nhà nước ở trung ương với chính quyền địa phương, bảo đảm thẩm quyền quản lý thống nhất của Chính phủ, quyền điều hành của người đứng đầu Chính phủ đối với lĩnh vực quản lý nhà nước về thống kê và phát huy tính chủ động, sáng tạo, tự chịu trách nhiệm của chính quyền địa phương trong thực hiện nhiệm vụ quản lý nhà nước trong lĩnh vực thống kê.</w:t>
      </w:r>
    </w:p>
    <w:p>
      <w:pPr>
        <w:bidi w:val="0"/>
        <w:spacing w:before="120" w:beforeAutospacing="0" w:after="280" w:afterAutospacing="1"/>
      </w:pPr>
      <w:r>
        <w:rPr>
          <w:rtl w:val="0"/>
        </w:rPr>
        <w:t>3. Bảo đảm Chính phủ, Thủ tướng Chính phủ, các bộ, cơ quan ngang bộ tập trung thực hiện nhiệm vụ quản lý nhà nước ở tầm vĩ mô; xây dựng thể chế, chiến lược, quy hoạch, kế hoạch đồng bộ, thống nhất, giữ vai trò kiến tạo và tăng cường thanh tra, kiểm tra, giám sát.</w:t>
      </w:r>
    </w:p>
    <w:p>
      <w:pPr>
        <w:bidi w:val="0"/>
        <w:spacing w:before="120" w:beforeAutospacing="0" w:after="280" w:afterAutospacing="1"/>
      </w:pPr>
      <w:r>
        <w:rPr>
          <w:rtl w:val="0"/>
        </w:rPr>
        <w:t>4. Đẩy mạnh phân quyền, phân cấp và phân định rõ thẩm quyền của Hội đồng nhân dân, Ủy ban nhân dân, Chủ tịch Ủy ban nhân dân; phân định rõ thẩm quyền chung của Ủy ban nhân dân và thẩm quyền riêng của Chủ tịch Ủy ban nhân dân; bảo đảm phù hợp với nhiệm vụ, quyền hạn và năng lực của cơ quan, người có thẩm quyền thực hiện nhiệm vụ, quyền hạn được phân định.</w:t>
      </w:r>
    </w:p>
    <w:p>
      <w:pPr>
        <w:bidi w:val="0"/>
        <w:spacing w:before="120" w:beforeAutospacing="0" w:after="280" w:afterAutospacing="1"/>
      </w:pPr>
      <w:r>
        <w:rPr>
          <w:rtl w:val="0"/>
        </w:rPr>
        <w:t>5. Thực hiện phân quyền, phân cấp giữa các ngành, lĩnh vực có liên quan bảo đảm đồng bộ, tổng thể, liên thông, không bỏ sót hoặc chồng lấn, giao thoa nhiệm vụ; bảo đảm cơ sở pháp lý cho hoạt động bình thường, liên tục, thông suốt của các cơ quan; không để gián đoạn công việc, không để chồng chéo, trùng lặp, bỏ sót chức năng, nhiệm vụ, lĩnh vực, địa bàn.</w:t>
      </w:r>
    </w:p>
    <w:p>
      <w:pPr>
        <w:bidi w:val="0"/>
        <w:spacing w:before="120" w:beforeAutospacing="0" w:after="280" w:afterAutospacing="1"/>
      </w:pPr>
      <w:r>
        <w:rPr>
          <w:rtl w:val="0"/>
        </w:rPr>
        <w:t>6. Bảo đảm quyền con người, quyền công dân; bảo đảm công khai, minh bạch, tạo điều kiện thuận lợi cho cá nhân, tổ chức trong việc tiếp cận thông tin, thực hiện các quyền, nghĩa vụ và các thủ tục theo quy định của pháp luật; không làm ảnh hưởng đến hoạt động bình thường của xã hội, người dân, doanh nghiệp.</w:t>
      </w:r>
    </w:p>
    <w:p>
      <w:pPr>
        <w:bidi w:val="0"/>
        <w:spacing w:before="120" w:beforeAutospacing="0" w:after="280" w:afterAutospacing="1"/>
      </w:pPr>
      <w:r>
        <w:rPr>
          <w:rtl w:val="0"/>
        </w:rPr>
        <w:t>7. Bảo đảm không làm ảnh hưởng đến việc thực hiện các điều ước quốc tế, thỏa thuận quốc tế mà nước Cộng hòa xã hội chủ nghĩa Việt Nam là thành viên.</w:t>
      </w:r>
    </w:p>
    <w:p>
      <w:pPr>
        <w:bidi w:val="0"/>
        <w:spacing w:before="120" w:beforeAutospacing="0" w:after="280" w:afterAutospacing="1"/>
      </w:pPr>
      <w:r>
        <w:rPr>
          <w:rtl w:val="0"/>
        </w:rPr>
        <w:t>8. Nguồn lực thực hiện nhiệm vụ được phân quyền, phân cấp do ngân sách nhà nước bảo đảm theo quy định.</w:t>
      </w:r>
    </w:p>
    <w:p>
      <w:pPr>
        <w:bidi w:val="0"/>
        <w:spacing w:before="120" w:beforeAutospacing="0" w:after="280" w:afterAutospacing="1"/>
      </w:pPr>
      <w:bookmarkStart w:id="10" w:name="dieu_3"/>
      <w:r>
        <w:rPr>
          <w:b/>
          <w:bCs/>
          <w:rtl w:val="0"/>
        </w:rPr>
        <w:t>Điều 3. Phân quyền trong lĩnh vực thống kê</w:t>
      </w:r>
      <w:bookmarkEnd w:id="10"/>
    </w:p>
    <w:p>
      <w:pPr>
        <w:bidi w:val="0"/>
        <w:spacing w:before="120" w:beforeAutospacing="0" w:after="280" w:afterAutospacing="1"/>
      </w:pPr>
      <w:r>
        <w:rPr>
          <w:rtl w:val="0"/>
        </w:rPr>
        <w:t xml:space="preserve">1. Việc quyết định tiến hành tổng điều tra thống kê quốc gia theo quy định tại </w:t>
      </w:r>
      <w:bookmarkStart w:id="11" w:name="dc_1"/>
      <w:r>
        <w:rPr>
          <w:rtl w:val="0"/>
        </w:rPr>
        <w:t>điểm a khoản 3 Điều 28 Luật Thống kê</w:t>
      </w:r>
      <w:bookmarkEnd w:id="11"/>
      <w:r>
        <w:rPr>
          <w:rtl w:val="0"/>
        </w:rPr>
        <w:t xml:space="preserve"> do Bộ trưởng Bộ Tài chính thực hiện.</w:t>
      </w:r>
    </w:p>
    <w:p>
      <w:pPr>
        <w:bidi w:val="0"/>
        <w:spacing w:before="120" w:beforeAutospacing="0" w:after="280" w:afterAutospacing="1"/>
      </w:pPr>
      <w:r>
        <w:rPr>
          <w:rtl w:val="0"/>
        </w:rPr>
        <w:t xml:space="preserve">2. Việc điều chỉnh, bổ sung tổng điều tra thống kê quốc gia theo quy định tại </w:t>
      </w:r>
      <w:bookmarkStart w:id="12" w:name="dc_2"/>
      <w:r>
        <w:rPr>
          <w:rtl w:val="0"/>
        </w:rPr>
        <w:t>khoản 3 Điều 29 Luật Thống kê</w:t>
      </w:r>
      <w:bookmarkEnd w:id="12"/>
      <w:r>
        <w:rPr>
          <w:rtl w:val="0"/>
        </w:rPr>
        <w:t xml:space="preserve"> do Bộ trưởng Bộ Tài chính thực hiện.</w:t>
      </w:r>
    </w:p>
    <w:p>
      <w:pPr>
        <w:bidi w:val="0"/>
        <w:spacing w:before="120" w:beforeAutospacing="0" w:after="280" w:afterAutospacing="1"/>
      </w:pPr>
      <w:r>
        <w:rPr>
          <w:rtl w:val="0"/>
        </w:rPr>
        <w:t xml:space="preserve">3. Việc phân công cơ quan thực hiện tổng điều tra thống kê quốc gia khác theo quy định tại </w:t>
      </w:r>
      <w:bookmarkStart w:id="13" w:name="dc_3"/>
      <w:r>
        <w:rPr>
          <w:rtl w:val="0"/>
        </w:rPr>
        <w:t>điểm b khoản 2 Điều 29 Luật Thống kê</w:t>
      </w:r>
      <w:bookmarkEnd w:id="13"/>
      <w:r>
        <w:rPr>
          <w:rtl w:val="0"/>
        </w:rPr>
        <w:t xml:space="preserve"> do Bộ trưởng Bộ Tài chính thực hiện.</w:t>
      </w:r>
    </w:p>
    <w:p>
      <w:pPr>
        <w:bidi w:val="0"/>
        <w:spacing w:before="120" w:beforeAutospacing="0" w:after="280" w:afterAutospacing="1"/>
      </w:pPr>
      <w:bookmarkStart w:id="14" w:name="dieu_4"/>
      <w:r>
        <w:rPr>
          <w:b/>
          <w:bCs/>
          <w:rtl w:val="0"/>
        </w:rPr>
        <w:t>Điều 4. Phân cấp trong lĩnh vực thống kê</w:t>
      </w:r>
      <w:bookmarkEnd w:id="14"/>
    </w:p>
    <w:p>
      <w:pPr>
        <w:bidi w:val="0"/>
        <w:spacing w:before="120" w:beforeAutospacing="0" w:after="280" w:afterAutospacing="1"/>
      </w:pPr>
      <w:r>
        <w:rPr>
          <w:rtl w:val="0"/>
        </w:rPr>
        <w:t xml:space="preserve">1. Việc ban hành quy chế phổ biến thông tin thống kê nhà nước của hệ thống tổ chức thống kê tập trung theo quy định tại </w:t>
      </w:r>
      <w:bookmarkStart w:id="15" w:name="dc_4"/>
      <w:r>
        <w:rPr>
          <w:rtl w:val="0"/>
        </w:rPr>
        <w:t>khoản 4 Điều 5 Nghị định số 94/2016/NĐ-CP</w:t>
      </w:r>
      <w:bookmarkEnd w:id="15"/>
      <w:r>
        <w:rPr>
          <w:rtl w:val="0"/>
        </w:rPr>
        <w:t xml:space="preserve"> ngày 01 tháng 7 năm 2016 quy định chi tiết và hướng dẫn thi hành một số điều của </w:t>
      </w:r>
      <w:bookmarkStart w:id="16" w:name="tvpllink_byllmhywoj"/>
      <w:r>
        <w:rPr>
          <w:rtl w:val="0"/>
        </w:rPr>
        <w:t>Luật Thống kê</w:t>
      </w:r>
      <w:bookmarkEnd w:id="16"/>
      <w:r>
        <w:rPr>
          <w:rtl w:val="0"/>
        </w:rPr>
        <w:t xml:space="preserve"> do Thủ trưởng cơ quan thống kê quốc gia thực hiện.</w:t>
      </w:r>
    </w:p>
    <w:p>
      <w:pPr>
        <w:bidi w:val="0"/>
        <w:spacing w:before="120" w:beforeAutospacing="0" w:after="280" w:afterAutospacing="1"/>
      </w:pPr>
      <w:r>
        <w:rPr>
          <w:rtl w:val="0"/>
        </w:rPr>
        <w:t xml:space="preserve">2. Việc quyết định tiến hành điều tra đối với các cuộc điều tra thống kê phân công Bộ Tài chính thực hiện trong chương trình điều tra thống kê quốc gia theo quy định tại </w:t>
      </w:r>
      <w:bookmarkStart w:id="17" w:name="dc_5"/>
      <w:r>
        <w:rPr>
          <w:rtl w:val="0"/>
        </w:rPr>
        <w:t>điểm b khoản 3 Điều 28 Luật Thống kê</w:t>
      </w:r>
      <w:bookmarkEnd w:id="17"/>
      <w:r>
        <w:rPr>
          <w:rtl w:val="0"/>
        </w:rPr>
        <w:t xml:space="preserve"> do Thủ trưởng cơ quan thống kê quốc gia thực hiện.</w:t>
      </w:r>
    </w:p>
    <w:p>
      <w:pPr>
        <w:bidi w:val="0"/>
        <w:spacing w:before="120" w:beforeAutospacing="0" w:after="280" w:afterAutospacing="1"/>
      </w:pPr>
      <w:r>
        <w:rPr>
          <w:rtl w:val="0"/>
        </w:rPr>
        <w:t xml:space="preserve">3. Việc tổ chức, điều phối hoạt động nghiên cứu, ứng dụng phương pháp thống kê tiên tiến trong hoạt động thống kê nhà nước theo quy định tại </w:t>
      </w:r>
      <w:bookmarkStart w:id="18" w:name="dc_6"/>
      <w:r>
        <w:rPr>
          <w:rtl w:val="0"/>
        </w:rPr>
        <w:t>khoản 3 Điều 50 Luật Thống kê</w:t>
      </w:r>
      <w:bookmarkEnd w:id="18"/>
      <w:r>
        <w:rPr>
          <w:rtl w:val="0"/>
        </w:rPr>
        <w:t xml:space="preserve"> do Thủ trưởng cơ quan thống kê quốc gia thực hiện.</w:t>
      </w:r>
    </w:p>
    <w:p>
      <w:pPr>
        <w:bidi w:val="0"/>
        <w:spacing w:before="120" w:beforeAutospacing="0" w:after="280" w:afterAutospacing="1"/>
      </w:pPr>
      <w:bookmarkStart w:id="19" w:name="dieu_5"/>
      <w:r>
        <w:rPr>
          <w:b/>
          <w:bCs/>
          <w:rtl w:val="0"/>
        </w:rPr>
        <w:t>Điều 5. Hiệu lực thi hành</w:t>
      </w:r>
      <w:bookmarkEnd w:id="19"/>
    </w:p>
    <w:p>
      <w:pPr>
        <w:bidi w:val="0"/>
        <w:spacing w:before="120" w:beforeAutospacing="0" w:after="280" w:afterAutospacing="1"/>
      </w:pPr>
      <w:r>
        <w:rPr>
          <w:rtl w:val="0"/>
        </w:rPr>
        <w:t>1. Nghị định này có hiệu lực thi hành từ ngày 01 tháng 7 năm 2025.</w:t>
      </w:r>
    </w:p>
    <w:p>
      <w:pPr>
        <w:bidi w:val="0"/>
        <w:spacing w:before="120" w:beforeAutospacing="0" w:after="280" w:afterAutospacing="1"/>
      </w:pPr>
      <w:r>
        <w:rPr>
          <w:rtl w:val="0"/>
        </w:rPr>
        <w:t>2. Nghị định này hết hiệu lực từ ngày 01 tháng 3 năm 2027 trừ các trường hợp sau:</w:t>
      </w:r>
    </w:p>
    <w:p>
      <w:pPr>
        <w:bidi w:val="0"/>
        <w:spacing w:before="120" w:beforeAutospacing="0" w:after="280" w:afterAutospacing="1"/>
      </w:pPr>
      <w:r>
        <w:rPr>
          <w:rtl w:val="0"/>
        </w:rPr>
        <w:t>a) Bộ, cơ quan ngang bộ báo cáo Chính phủ đề xuất và được Quốc hội quyết định kéo dài thời gian áp dụng toàn bộ hoặc một phần Nghị định này;</w:t>
      </w:r>
    </w:p>
    <w:p>
      <w:pPr>
        <w:bidi w:val="0"/>
        <w:spacing w:before="120" w:beforeAutospacing="0" w:after="280" w:afterAutospacing="1"/>
      </w:pPr>
      <w:r>
        <w:rPr>
          <w:rtl w:val="0"/>
        </w:rPr>
        <w:t>b) Luật, nghị quyết của Quốc hội, pháp lệnh, nghị quyết của Ủy ban Thường vụ Quốc hội, nghị định, nghị quyết của Chính phủ, quyết định của Thủ tướng Chính phủ có quy định về thẩm quyền, trách nhiệm quản lý nhà nước, trình tự, thủ tục quy định tại Nghị định này được thông qua hoặc ban hành kể từ ngày 01 tháng 7 năm 2025, có hiệu lực trước ngày 01 tháng 3 năm 2027 và quy định tương ứng trong Nghị định này hết hiệu lực tại thời điểm các văn bản quy phạm pháp luật đó có hiệu lực.</w:t>
      </w:r>
    </w:p>
    <w:p>
      <w:pPr>
        <w:bidi w:val="0"/>
        <w:spacing w:after="280" w:afterAutospacing="1"/>
      </w:pPr>
      <w:r>
        <w:rPr>
          <w:rtl w:val="0"/>
        </w:rPr>
        <w:t>3. Trong thời gian các quy định của Nghị định này có hiệu lực, nếu quy định về thẩm quyền, trách nhiệm quản lý nhà nước, trình tự, thủ tục trong Nghị định này khác với các văn bản quy phạm pháp luật có liên quan thì thực hiện theo quy định tại Nghị định này.</w:t>
      </w:r>
    </w:p>
    <w:p>
      <w:pPr>
        <w:bidi w:val="0"/>
        <w:spacing w:after="280" w:afterAutospacing="1"/>
      </w:pPr>
      <w:r>
        <w:rPr>
          <w:rtl w:val="0"/>
        </w:rPr>
        <w:t> </w:t>
      </w:r>
    </w:p>
    <w:tbl>
      <w:tblPr>
        <w:jc w:val="left"/>
        <w:tblCellMar>
          <w:top w:w="0" w:type="dxa"/>
          <w:left w:w="0" w:type="dxa"/>
          <w:bottom w:w="0" w:type="dxa"/>
          <w:right w:w="0" w:type="dxa"/>
        </w:tblCellMar>
      </w:tblPr>
      <w:tblGrid>
        <w:gridCol w:w="4307"/>
        <w:gridCol w:w="4333"/>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xml:space="preserve">- VPCP: BTCN, các PCN, Trợ lý TTg, TGĐ Cổng TTĐT, các Vụ, Cục, đơn vị trực thuộc, Công báo; </w:t>
            </w:r>
            <w:r>
              <w:rPr>
                <w:sz w:val="16"/>
                <w:rtl w:val="0"/>
              </w:rPr>
              <w:br/>
            </w:r>
            <w:r>
              <w:rPr>
                <w:sz w:val="16"/>
                <w:rtl w:val="0"/>
              </w:rPr>
              <w:t>- Lưu: VT, KTTH (2b)</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b/>
                <w:bCs/>
                <w:rtl w:val="0"/>
              </w:rPr>
              <w:br/>
            </w:r>
            <w:r>
              <w:rPr>
                <w:b/>
                <w:bCs/>
                <w:rtl w:val="0"/>
              </w:rPr>
              <w:t>KT. THỦ TƯỚNG</w:t>
            </w:r>
            <w:r>
              <w:rPr>
                <w:b/>
                <w:bCs/>
                <w:rtl w:val="0"/>
              </w:rPr>
              <w:br/>
            </w:r>
            <w:r>
              <w:rPr>
                <w:b/>
                <w:bCs/>
                <w:rtl w:val="0"/>
              </w:rPr>
              <w:t>PHÓ THỦ TƯỚNG</w:t>
            </w:r>
            <w:r>
              <w:rPr>
                <w:b/>
                <w:bCs/>
                <w:rtl w:val="0"/>
              </w:rPr>
              <w:br/>
            </w:r>
            <w:r>
              <w:rPr>
                <w:b/>
                <w:bCs/>
                <w:rtl w:val="0"/>
              </w:rPr>
              <w:br/>
            </w:r>
            <w:r>
              <w:rPr>
                <w:b/>
                <w:bCs/>
                <w:rtl w:val="0"/>
              </w:rPr>
              <w:br/>
            </w:r>
            <w:r>
              <w:rPr>
                <w:b/>
                <w:bCs/>
                <w:rtl w:val="0"/>
              </w:rPr>
              <w:br/>
            </w:r>
            <w:r>
              <w:rPr>
                <w:b/>
                <w:bCs/>
                <w:rtl w:val="0"/>
              </w:rPr>
              <w:br/>
            </w:r>
            <w:r>
              <w:rPr>
                <w:b/>
                <w:bCs/>
                <w:rtl w:val="0"/>
              </w:rPr>
              <w:t>Nguyễn Hòa Bình</w:t>
            </w:r>
          </w:p>
        </w:tc>
      </w:tr>
    </w:tbl>
    <w:p>
      <w:pPr>
        <w:bidi w:val="0"/>
        <w:spacing w:after="280" w:afterAutospacing="1"/>
      </w:pPr>
      <w:r>
        <w:rPr>
          <w:rtl w:val="0"/>
        </w:rPr>
        <w:t> </w:t>
      </w:r>
    </w:p>
    <w:p>
      <w:pPr>
        <w:bidi w:val="0"/>
        <w:spacing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