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PHỤ LỤC VI-13</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i w:val="1"/>
          <w:sz w:val="18"/>
          <w:szCs w:val="18"/>
          <w:rtl w:val="0"/>
        </w:rPr>
        <w:t xml:space="preserve">(Ban hành kèm theo Thông tư số 02/2023/TT-BKHĐT ngày 18 tháng 4 năm 2023 sửa đổi, bổ sung một số điều của Thông tư số </w:t>
      </w:r>
      <w:hyperlink r:id="rId6">
        <w:r w:rsidDel="00000000" w:rsidR="00000000" w:rsidRPr="00000000">
          <w:rPr>
            <w:i w:val="1"/>
            <w:color w:val="0e70c3"/>
            <w:sz w:val="18"/>
            <w:szCs w:val="18"/>
            <w:rtl w:val="0"/>
          </w:rPr>
          <w:t xml:space="preserve">01/2021/TT-BKHĐT</w:t>
        </w:r>
      </w:hyperlink>
      <w:r w:rsidDel="00000000" w:rsidR="00000000" w:rsidRPr="00000000">
        <w:rPr>
          <w:i w:val="1"/>
          <w:sz w:val="18"/>
          <w:szCs w:val="18"/>
          <w:rtl w:val="0"/>
        </w:rPr>
        <w:t xml:space="preserve"> ngày 16 tháng 3 năm 2021)</w:t>
      </w:r>
    </w:p>
    <w:tbl>
      <w:tblPr>
        <w:tblStyle w:val="Table1"/>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45"/>
        <w:gridCol w:w="5175"/>
        <w:tblGridChange w:id="0">
          <w:tblGrid>
            <w:gridCol w:w="3645"/>
            <w:gridCol w:w="5175"/>
          </w:tblGrid>
        </w:tblGridChange>
      </w:tblGrid>
      <w:tr>
        <w:trPr>
          <w:cantSplit w:val="0"/>
          <w:trHeight w:val="13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sz w:val="18"/>
                <w:szCs w:val="18"/>
                <w:rtl w:val="0"/>
              </w:rPr>
              <w:t xml:space="preserve">ỦY BAN NHÂN DÂN</w:t>
              <w:br w:type="textWrapping"/>
              <w:t xml:space="preserve">QUẬN/HUYỆN...</w:t>
              <w:br w:type="textWrapping"/>
            </w:r>
            <w:r w:rsidDel="00000000" w:rsidR="00000000" w:rsidRPr="00000000">
              <w:rPr>
                <w:b w:val="1"/>
                <w:sz w:val="18"/>
                <w:szCs w:val="18"/>
                <w:rtl w:val="0"/>
              </w:rPr>
              <w:t xml:space="preserve">PHÒNG TÀI CHÍNH - KẾ HOẠCH</w:t>
              <w:br w:type="textWrapping"/>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tháng..... năm......</w:t>
            </w:r>
          </w:p>
        </w:tc>
      </w:tr>
    </w:tbl>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GIẤY BIÊN NHẬN</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Hồ sơ đăng ký hộ kinh doanh qua mạng thông tin điện tử</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Phòng Tài chính - Kế hoạch: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trụ sở: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…………………………………………Fax: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Email: ………………………………………………Website: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đã nhận của Ông/Bà …………………………………………………………….</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Số căn cước công dân/chứng minh nhân dân số: …………………………………………….</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 Fax: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Email: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01 bộ hồ sơ đăng ký qua mạng điện tử mã số: …………………………… về việc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Hồ sơ bao gồm:</w:t>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47.4292448801818"/>
        <w:gridCol w:w="7978.082566143441"/>
        <w:tblGridChange w:id="0">
          <w:tblGrid>
            <w:gridCol w:w="1047.4292448801818"/>
            <w:gridCol w:w="7978.082566143441"/>
          </w:tblGrid>
        </w:tblGridChange>
      </w:tblGrid>
      <w:tr>
        <w:trPr>
          <w:cantSplit w:val="0"/>
          <w:trHeight w:val="7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Tên tài liệu</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vertAlign w:val="superscript"/>
        </w:rPr>
      </w:pPr>
      <w:r w:rsidDel="00000000" w:rsidR="00000000" w:rsidRPr="00000000">
        <w:rPr>
          <w:sz w:val="18"/>
          <w:szCs w:val="18"/>
          <w:rtl w:val="0"/>
        </w:rPr>
        <w:t xml:space="preserve">Trong thời hạn 03 ngày làm việc kể từ ngày hồ sơ được tiếp nhận trên hệ thống thông tin về đăng ký hộ kinh doanh, Phòng Tài chính - Kế hoạch sẽ thông báo cho Ông/Bà về kết quả xử lý hồ đăng ký hộ kinh doanh của Ông/Bà. Ngày dự kiến trả kết quả: …./…./……….</w:t>
      </w:r>
      <w:r w:rsidDel="00000000" w:rsidR="00000000" w:rsidRPr="00000000">
        <w:rPr>
          <w:sz w:val="18"/>
          <w:szCs w:val="18"/>
          <w:vertAlign w:val="superscript"/>
          <w:rtl w:val="0"/>
        </w:rPr>
        <w:t xml:space="preserve">1</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Kết quả xử lý hồ sơ đăng ký hộ kinh doanh sẽ được gửi vào địa chỉ thư điện tử và tài khoản truy cập hệ thống thông tin về đăng ký hộ kinh doanh của Ông/Bà.</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PHÒNG TÀI CHÍNH - KẾ HOẠCH ………………………..</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___________________</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1 </w:t>
      </w:r>
      <w:r w:rsidDel="00000000" w:rsidR="00000000" w:rsidRPr="00000000">
        <w:rPr>
          <w:b w:val="1"/>
          <w:i w:val="1"/>
          <w:sz w:val="18"/>
          <w:szCs w:val="18"/>
          <w:rtl w:val="0"/>
        </w:rPr>
        <w:t xml:space="preserve">Lưu ý:</w:t>
      </w:r>
      <w:r w:rsidDel="00000000" w:rsidR="00000000" w:rsidRPr="00000000">
        <w:rPr>
          <w:sz w:val="18"/>
          <w:szCs w:val="18"/>
          <w:rtl w:val="0"/>
        </w:rPr>
        <w:t xml:space="preserve"> Trường hợp hồ sơ được tiếp nhận trên hệ thống thông tin về đăng ký hộ kinh doanh sau giờ hành chính hoặc vào ngày nghỉ lễ, Tết theo quy định thì thời hạn trả kết quả là trong 03 ngày làm việc kể từ ngày làm việc kế tiếp của ngày hồ sơ được tiếp nhận.</w:t>
      </w:r>
    </w:p>
    <w:p w:rsidR="00000000" w:rsidDel="00000000" w:rsidP="00000000" w:rsidRDefault="00000000" w:rsidRPr="00000000" w14:paraId="0000001E">
      <w:pPr>
        <w:pBdr>
          <w:left w:color="auto" w:space="0" w:sz="0" w:val="none"/>
          <w:right w:color="auto" w:space="0" w:sz="0" w:val="none"/>
        </w:pBdr>
        <w:spacing w:after="120" w:before="120" w:line="255.27272727272725" w:lineRule="auto"/>
        <w:jc w:val="left"/>
        <w:rPr>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