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i w:val="1"/>
          <w:color w:val="444444"/>
          <w:sz w:val="33"/>
          <w:szCs w:val="33"/>
        </w:rPr>
      </w:pPr>
      <w:bookmarkStart w:colFirst="0" w:colLast="0" w:name="_gysqgdkh7rt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422900" cy="7620000"/>
            <wp:effectExtent b="0" l="0" r="0" t="0"/>
            <wp:docPr descr="Đề thi tuyển sinh lớp 10 môn Toán Bắc Giang 2023" id="2" name="image1.jpg"/>
            <a:graphic>
              <a:graphicData uri="http://schemas.openxmlformats.org/drawingml/2006/picture">
                <pic:pic>
                  <pic:nvPicPr>
                    <pic:cNvPr descr="Đề thi tuyển sinh lớp 10 môn Toán Bắc Giang 2023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731200" cy="7327900"/>
            <wp:effectExtent b="0" l="0" r="0" t="0"/>
            <wp:docPr descr="Đề thi tuyển sinh lớp 10 môn Toán Bắc Giang 2023" id="1" name="image2.jpg"/>
            <a:graphic>
              <a:graphicData uri="http://schemas.openxmlformats.org/drawingml/2006/picture">
                <pic:pic>
                  <pic:nvPicPr>
                    <pic:cNvPr descr="Đề thi tuyển sinh lớp 10 môn Toán Bắc Giang 2023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2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