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F97" w:rsidRDefault="009C08CC">
      <w:pPr>
        <w:rPr>
          <w:rFonts w:ascii="Times New Roman" w:hAnsi="Times New Roman" w:cs="Times New Roman"/>
          <w:sz w:val="26"/>
          <w:szCs w:val="26"/>
        </w:rPr>
      </w:pPr>
      <w:r w:rsidRPr="009C08CC">
        <w:rPr>
          <w:rFonts w:ascii="Times New Roman" w:hAnsi="Times New Roman" w:cs="Times New Roman"/>
          <w:sz w:val="26"/>
          <w:szCs w:val="26"/>
        </w:rPr>
        <w:t>Điểm chuẩn của Trường Đại học Luật (Mã trường QHL)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9C08CC" w:rsidRPr="009C08CC" w:rsidRDefault="009C08CC">
      <w:pPr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w:drawing>
          <wp:inline distT="0" distB="0" distL="0" distR="0" wp14:anchorId="79EBCD5A" wp14:editId="2354C584">
            <wp:extent cx="4876800" cy="6019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601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C08CC" w:rsidRPr="009C08C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8CC"/>
    <w:rsid w:val="00595F97"/>
    <w:rsid w:val="009C0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0BBA77F-4B09-426B-8C65-8DCE7787C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8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2023-08-23T01:18:00Z</dcterms:created>
  <dcterms:modified xsi:type="dcterms:W3CDTF">2023-08-23T01:20:00Z</dcterms:modified>
</cp:coreProperties>
</file>