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6C1ECC" w:rsidRPr="006C1ECC" w:rsidTr="006C1ECC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CC" w:rsidRPr="006C1ECC" w:rsidRDefault="006C1ECC" w:rsidP="006C1E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………………..</w:t>
            </w:r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(2)</w:t>
            </w:r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</w:t>
            </w:r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CC" w:rsidRPr="006C1ECC" w:rsidRDefault="006C1ECC" w:rsidP="006C1E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6C1ECC" w:rsidRPr="006C1ECC" w:rsidTr="006C1ECC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CC" w:rsidRPr="006C1ECC" w:rsidRDefault="006C1ECC" w:rsidP="006C1E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…/QĐ-…</w:t>
            </w:r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CC" w:rsidRPr="006C1ECC" w:rsidRDefault="006C1ECC" w:rsidP="006C1EC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……., </w:t>
            </w:r>
            <w:proofErr w:type="spellStart"/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 </w:t>
            </w:r>
            <w:proofErr w:type="spellStart"/>
            <w:proofErr w:type="gramStart"/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proofErr w:type="gramEnd"/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 </w:t>
            </w:r>
            <w:proofErr w:type="spellStart"/>
            <w:proofErr w:type="gramStart"/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proofErr w:type="gramEnd"/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</w:t>
            </w:r>
          </w:p>
        </w:tc>
      </w:tr>
    </w:tbl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color w:val="222222"/>
          <w:sz w:val="18"/>
          <w:szCs w:val="18"/>
        </w:rPr>
        <w:t> </w:t>
      </w:r>
    </w:p>
    <w:p w:rsidR="006C1ECC" w:rsidRPr="006C1ECC" w:rsidRDefault="006C1ECC" w:rsidP="006C1ECC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name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 ĐỊNH</w:t>
      </w:r>
      <w:bookmarkEnd w:id="0"/>
    </w:p>
    <w:p w:rsidR="006C1ECC" w:rsidRPr="006C1ECC" w:rsidRDefault="006C1ECC" w:rsidP="006C1ECC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_name"/>
      <w:proofErr w:type="spellStart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</w:t>
      </w:r>
      <w:proofErr w:type="spellEnd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sở</w:t>
      </w:r>
      <w:proofErr w:type="spellEnd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hữu</w:t>
      </w:r>
      <w:proofErr w:type="spellEnd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toàn</w:t>
      </w:r>
      <w:proofErr w:type="spellEnd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dân</w:t>
      </w:r>
      <w:proofErr w:type="spellEnd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bookmarkEnd w:id="1"/>
      <w:proofErr w:type="spellEnd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(</w:t>
      </w:r>
      <w:proofErr w:type="gramEnd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4)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……………</w:t>
      </w:r>
      <w:proofErr w:type="gramStart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..</w:t>
      </w:r>
      <w:r w:rsidRPr="006C1EC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6C1EC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5)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sử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dụng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sản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21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2017;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sửa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đổi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bổ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sung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một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Chứng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khoán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Kế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toán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Kiểm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toán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độc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lập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Ngân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sách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nhà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nước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sử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dụng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sản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thuế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Thuế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nhập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Dự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trữ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quốc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Xử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vi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phạm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29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11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2024;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18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02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2025;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địa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phương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19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02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2025;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.....</w:t>
      </w:r>
      <w:proofErr w:type="gram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/2025/NĐ-CP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......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….. </w:t>
      </w:r>
      <w:proofErr w:type="spellStart"/>
      <w:proofErr w:type="gram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proofErr w:type="gram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2025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thẩm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thủ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tục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xác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lập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sở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hữu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toàn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dân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sản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xử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đối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với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sản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được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xác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lập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sở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hữu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toàn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dân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Văn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bản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năng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nhiệm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………………</w:t>
      </w:r>
      <w:proofErr w:type="gram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</w:t>
      </w:r>
      <w:proofErr w:type="gram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2)</w:t>
      </w:r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Theo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6C1EC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........................................ </w:t>
      </w:r>
      <w:proofErr w:type="gramEnd"/>
      <w:r w:rsidRPr="006C1EC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(6)</w:t>
      </w:r>
      <w:r w:rsidRPr="006C1EC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 ĐỊNH: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1. 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689"/>
        <w:gridCol w:w="1246"/>
        <w:gridCol w:w="1247"/>
        <w:gridCol w:w="1247"/>
        <w:gridCol w:w="1424"/>
        <w:gridCol w:w="1247"/>
      </w:tblGrid>
      <w:tr w:rsidR="006C1ECC" w:rsidRPr="006C1ECC" w:rsidTr="006C1EC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sản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tính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Khối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sản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nếu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có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sử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dụng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nếu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có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Tình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trạng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sản</w:t>
            </w:r>
            <w:proofErr w:type="spellEnd"/>
          </w:p>
        </w:tc>
      </w:tr>
      <w:tr w:rsidR="006C1ECC" w:rsidRPr="006C1ECC" w:rsidTr="006C1EC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</w:tr>
      <w:tr w:rsidR="006C1ECC" w:rsidRPr="006C1ECC" w:rsidTr="006C1EC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1ECC" w:rsidRPr="006C1ECC" w:rsidRDefault="006C1ECC" w:rsidP="006C1E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</w:tr>
    </w:tbl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gốc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>: ………………</w:t>
      </w:r>
      <w:proofErr w:type="gram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..</w:t>
      </w:r>
      <w:r w:rsidRPr="006C1EC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6C1EC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8)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6C1EC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2. 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color w:val="000000"/>
          <w:sz w:val="18"/>
          <w:szCs w:val="18"/>
        </w:rPr>
        <w:t>…………………………</w:t>
      </w:r>
      <w:proofErr w:type="gram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6C1EC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6C1EC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9)</w:t>
      </w:r>
      <w:r w:rsidRPr="006C1ECC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color w:val="222222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6C1ECC" w:rsidRPr="006C1ECC" w:rsidTr="006C1EC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6C1ECC" w:rsidRPr="006C1ECC" w:rsidRDefault="006C1ECC" w:rsidP="006C1E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C1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6C1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proofErr w:type="gramStart"/>
            <w:r w:rsidRPr="006C1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 w:rsidRPr="006C1EC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br/>
            </w:r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Như</w:t>
            </w:r>
            <w:proofErr w:type="spellEnd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2;</w:t>
            </w:r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</w:t>
            </w:r>
            <w:proofErr w:type="spellEnd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</w:t>
            </w:r>
            <w:proofErr w:type="spellEnd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nơi</w:t>
            </w:r>
            <w:proofErr w:type="spellEnd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</w:t>
            </w:r>
            <w:proofErr w:type="spellEnd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(10)</w:t>
            </w:r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Lưu</w:t>
            </w:r>
            <w:proofErr w:type="spellEnd"/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</w:t>
            </w:r>
          </w:p>
        </w:tc>
        <w:tc>
          <w:tcPr>
            <w:tcW w:w="2500" w:type="pct"/>
            <w:shd w:val="clear" w:color="auto" w:fill="FFFFFF"/>
            <w:hideMark/>
          </w:tcPr>
          <w:p w:rsidR="006C1ECC" w:rsidRPr="006C1ECC" w:rsidRDefault="006C1ECC" w:rsidP="006C1E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……………..</w:t>
            </w:r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(4)</w:t>
            </w:r>
            <w:r w:rsidRPr="006C1E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6C1E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(1)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(2)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(3)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viết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(4)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duyệt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lastRenderedPageBreak/>
        <w:t>sản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01-QĐXL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(5)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(6)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(7)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(8)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gốc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>…../2025/NĐ-CP.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(9)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C1ECC" w:rsidRPr="006C1ECC" w:rsidRDefault="006C1ECC" w:rsidP="006C1E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(10)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ương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);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C1ECC">
        <w:rPr>
          <w:rFonts w:ascii="Arial" w:eastAsia="Times New Roman" w:hAnsi="Arial" w:cs="Arial"/>
          <w:color w:val="000000"/>
          <w:sz w:val="18"/>
          <w:szCs w:val="18"/>
        </w:rPr>
        <w:t>huyện</w:t>
      </w:r>
      <w:proofErr w:type="spellEnd"/>
      <w:r w:rsidRPr="006C1ECC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BD6544" w:rsidRPr="006C1ECC" w:rsidRDefault="00BD6544" w:rsidP="006C1ECC">
      <w:bookmarkStart w:id="2" w:name="_GoBack"/>
      <w:bookmarkEnd w:id="2"/>
    </w:p>
    <w:sectPr w:rsidR="00BD6544" w:rsidRPr="006C1ECC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D8" w:rsidRDefault="00DB34D8" w:rsidP="00CD0C9D">
      <w:r>
        <w:separator/>
      </w:r>
    </w:p>
  </w:endnote>
  <w:endnote w:type="continuationSeparator" w:id="0">
    <w:p w:rsidR="00DB34D8" w:rsidRDefault="00DB34D8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D8" w:rsidRDefault="00DB34D8" w:rsidP="00CD0C9D">
      <w:r>
        <w:separator/>
      </w:r>
    </w:p>
  </w:footnote>
  <w:footnote w:type="continuationSeparator" w:id="0">
    <w:p w:rsidR="00DB34D8" w:rsidRDefault="00DB34D8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E2F82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66314"/>
    <w:rsid w:val="006759A2"/>
    <w:rsid w:val="00692AB1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30679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6C60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F604-6C7A-482A-94A3-62F8EE73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306</cp:revision>
  <dcterms:created xsi:type="dcterms:W3CDTF">2025-01-14T02:58:00Z</dcterms:created>
  <dcterms:modified xsi:type="dcterms:W3CDTF">2025-04-10T10:30:00Z</dcterms:modified>
</cp:coreProperties>
</file>