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FA2" w:rsidRPr="00693FA2" w:rsidRDefault="00693FA2" w:rsidP="00693FA2">
      <w:pPr>
        <w:shd w:val="clear" w:color="auto" w:fill="FFFFFF"/>
        <w:spacing w:line="234" w:lineRule="atLeast"/>
        <w:jc w:val="center"/>
        <w:rPr>
          <w:rFonts w:eastAsia="Times New Roman"/>
          <w:color w:val="000000"/>
          <w:sz w:val="22"/>
          <w:szCs w:val="22"/>
        </w:rPr>
      </w:pPr>
      <w:bookmarkStart w:id="0" w:name="_GoBack"/>
      <w:r w:rsidRPr="00693FA2">
        <w:rPr>
          <w:rFonts w:eastAsia="Times New Roman"/>
          <w:color w:val="000000"/>
          <w:sz w:val="22"/>
          <w:szCs w:val="22"/>
          <w:lang w:val="en-GB"/>
        </w:rPr>
        <w:t> </w:t>
      </w:r>
      <w:bookmarkStart w:id="1" w:name="chuong_pl_9_name"/>
      <w:r w:rsidRPr="00693FA2">
        <w:rPr>
          <w:rFonts w:eastAsia="Times New Roman"/>
          <w:b/>
          <w:bCs/>
          <w:color w:val="000000"/>
          <w:sz w:val="22"/>
          <w:szCs w:val="22"/>
          <w:lang w:val="en-GB"/>
        </w:rPr>
        <w:t>BÁO CÁO THẨM ĐỊNH BÁO CÁO NGHIÊN CỨU KHẢ THI, BÁO CÁO KINH TẾ - KỸ THUẬT ĐẦU TƯ XÂY DỰNG DỰ ÁN PPP</w:t>
      </w:r>
      <w:bookmarkEnd w:id="1"/>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Căn cứ tính chất, quy mô, lĩnh vực và nội dung của báo cáo nghiên cứu khả thi (BCNCKT), báo cáo kinh tế kỹ thuật đầu tư xây dựng (BCKTKT), báo cáo thẩm định BCNCKT, BCKTKT được thực hiện theo các nội dung hướng dẫn dưới đây. Đối với BCNCKT, BCKTKT do nhà đầu tư lập, cần xem xét các yếu tố khác mà nhà đầu tư thuyết minh.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lập BCNCKT, BCKTKT. Trường hợp áp dụng Mẫu này để thẩm định các nội dung điều chỉnh BCNCKT, đơn vị thẩm định dự án sắp xếp, lựa chọn các nội dung phù hợp.</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A. KHÁI QUÁT VỀ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Trình bày thông tin khái quát về dự án, bao gồm:</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 Tên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2. Tên cơ quan có thẩm quyền; cơ quan ký kết hợp đồng.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3. Tên đơn vị chuẩn bị dự án hoặc nhà đầu tư lập báo cáo nghiên cứu khả thi, báo cáo kinh tế - kỹ thuật đầu tư xây dựng.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4. Địa điểm, quy mô, công suất dự án, diện tích sử dụng đất.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5. Yêu cầu về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6. Tổng mức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7. Vốn nhà nước trong dự án PPP (nếu có).</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8. Loại hợp đồng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9. Các chỉ tiêu chính thuộc phương án tài chính.</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10. Thời hạn hợp đồng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11. Ưu đãi và bảo đảm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12. Tên bên mời thầu, hình thức lựa chọn nhà đầu tư và thời gian tổ chức lựa chọn nhà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B. TỔNG HỢP Ý KIẾN CỦA CÁC THÀNH VIÊN HỘI ĐỒNG THẨM ĐỊNH/CƠ QUAN, ĐƠN VỊ CÓ LIÊN QUAN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Đơn vị thẩm định dự án tổng hợp ý kiến các cơ quan, đơn vị có liên quan tại Mục này.</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C. TỔNG HỢP KẾT QUẢ THẨM ĐỊNH</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I. KIỂM TRA HỒ SƠ</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Đánh giá về tính đầy đủ về thành phần, nội dung hồ sơ.</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II. THẨM ĐỊNH VỀ NỘI DUNG CỦA HỒ SƠ</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 Sự phù hợp với căn cứ pháp lý (trường hợp có nội dung thay đổi so với báo cáo nghiên cứu tiền khả thi, báo cáo đề xuất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Đánh giá sự phù hợp của BCNCKT, BCKTKT với các văn bản pháp lý có liên quan.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lastRenderedPageBreak/>
        <w:t>2. Sự cần thiết đầu tư dự án (trường hợp có nội dung thay đổi so với báo cáo nghiên cứu tiền khả thi, báo cáo đề xuất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Đánh giá sự phù hợp của BCNCKT, BCKTKT đối với một số nội dung sau:</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Quy hoạch, kế hoạch phát triển ngành, vùng, kế hoạch phát triển kinh tế - xã hội của địa phương.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Sự cần thiết đầu tư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Tác động của việc thực hiện dự án đối với cộng đồng, dân cư trong phạm vi dự án (căn cứ kết quả tiếp thu ý kiến về tác động của việc thực hiện dự án của Hội đồng nhân dân, Ủy ban nhân dân, Mặt trận Tổ quốc Việt Nam cấp tỉnh nơi thực hiện dự án, hiệp hội nghề nghiệp liên quan đến lĩnh vực đầu tư (đối với dự án áp dụng cơ chế thu phí trực tiếp từ người sử dụng).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Sự phù hợp của các mục tiêu tổng thể và mục tiêu cụ thể với hiện trạng của ngành, lĩnh vực hoặc địa phương, khả năng giải quyết các vấn đề mà cộng đồng dân cư yêu cầu.</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Lợi thế của việc đầu tư dự án theo phương thức PPP so với các hình thức đầu tư khác.</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Mức độ ảnh hưởng của các dự án có liên quan.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3. Tính khả thi của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a) Thẩm định tính khả thi về mặt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Các yêu cầu về mặt kỹ thuật: Xem xét sự phù hợp của phương án kỹ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khả thi của các chỉ số đánh giá chất lượng thực hiện dự án về mặt kỹ thuật.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Trường hợp dự án sử dụng vốn đầu tư công làm vốn hỗ trợ xây dựng công trình, hệ thống cơ sở hạ tầng, xem xét sự phù hợp của thuyết minh về các yêu cầu kỹ thuật dẫn đến phương thức quản lý và sử dụng phần vốn này (tiểu dự án hoặc hạng mục).</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Thiết kế cơ sở: Tổng hợp ý kiến thẩm định của cơ quan chuyên môn về xây dựng theo pháp luật về xây dựng đối với dự án có cấu phần xây dựng hoặc cơ quan chuyên môn theo quy định của pháp luật chuyên ngành đối với dự án không có cấu phần xây dựng.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Các yếu tố đầu vào cung ứng cho dự án: Xem xét sự phù hợp của khả năng cung cấp nguyên liệu đầu vào chủ yếu cho các hoạt động sản xuất, kinh doanh của dự án, căn cứ quy mô, công suất theo phân kỳ đầu tư (nếu có).</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Các yếu tố đầu ra của dự án: Xem xét sự phù hợp của các yếu tố đầu ra với quy mô, công suất, nhu cầu sử dụng công trình, hệ thống cơ sở hạ tầng, sản phẩm, dịch vụ công cung cấp; xem xét tính phù hợp của các chỉ số đánh giá chất lượng thực hiện dự án được trình bày trong BCNCKT.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b) Hiệu quả kinh tế - xã hội của dự án (trường hợp có nội dung thay đổi so với báo cáo nghiên cứu tiền khả thi, báo cáo đề xuất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Đóng góp của dự án cho các nhiệm vụ phát triển kinh tế - xã hội: Xem xét tính hợp lý của các nhóm yếu tố chi phí, lợi ích về mặt kinh tế - xã hội và các chỉ tiêu kinh tế (Giá trị hiện tại ròng kinh tế - ENPV; tỷ số lợi ích trên chi phí về kinh tế - BCR; tỷ suất nội hoàn kinh tế - EIRR). Dự án đạt hiệu quả kinh tế - xã hội khi các chỉ tiêu kinh tế nêu trên đáp ứng yêu cầu sau:</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ENPV dương (&gt; 0); BCR lớn hơn 1 (&gt; 1); EIRR lớn hơn tỷ suất chiết khấu xã hội (SDR).</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lastRenderedPageBreak/>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Tác động của dự án đối với quốc phòng, an ninh (nếu có): Trường hợp dự án có liên quan đến các vấn đề quốc phòng, an ninh, xem xét sự phù hợp của các tác động được trình bày trong BCNCKT.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c) Tính khả thi về mặt tài chính</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NPV dương (&gt; 0).</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Vốn nhà nước tham gia trong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Xem xét sự phù hợp của giá trị phần vốn, số vốn được bố trí trong kế hoạch đầu tư công trung hạn đối với vốn đầu tư công;</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Sự phù hợp của giá trị và mục đích sử dụng tài sản công được xác định trong quyết định sử dụng tài sản công để tham gia dự án PPP theo quy định của pháp luật về quản lý, sử dụng tài sản công hoặc vốn từ nguồn thu để lại từ hoạt động cung cấp dịch vụ công để thanh toán cho nhà đầu tư hoặc kế hoạch vốn, dự toán chi đối với vốn từ nguồn chi thường xuyên, phương thức, kế hoạch và tiến độ giải ngân cho nhà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Xem xét khả năng bảo đảm không dẫn đến các khoản nợ tài chính ngoài dự kiến cho phía Nhà nước.</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Sự phù hợp của các hình thức ưu đãi, bảo đảm đầu tư; nguồn vốn và khả năng cân đối nguồn vốn để xử lý rủi ro từ dự phòng ngân sách trung ương hay địa phương theo quyết định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4. Sự phù hợp của loại hợp đồng dự án (trường hợp có nội dung thay đổi so với báo cáo nghiên cứu tiền khả thi, báo cáo đề xuất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Đánh giá sự phù hợp của loại hợp đồng dự án căn cứ các nội dung sau:</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Nguồn thu và khả năng thu hồi vốn cho nhà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Thời gian hoàn vốn và thời hạn hợp đồng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Tính hợp lý trong việc phân chia trách nhiệm của các bên trong quá trình triển khai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Các rủi ro chính của dự án được xác định đầy đủ và phù hợp trong các kịch bản tài chính.</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Khả năng xảy ra các rủi ro và mức độ ảnh hưởng đối với dự án được xác định cụ thể và phù hợp.</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Các biện pháp giảm thiểu rủi ro được xác định phù hợp.</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lastRenderedPageBreak/>
        <w:t>5. Sự phù hợp của các nội dung về lựa chọn nhà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Xem xét sự phù hợp của hình thức lựa chọn nhà đầu tư được đề xuất, bao gồm:</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Đấu thầu rộng rãi trong nước, quốc tế;</w:t>
      </w:r>
    </w:p>
    <w:p w:rsidR="00693FA2" w:rsidRPr="00693FA2" w:rsidRDefault="00693FA2" w:rsidP="00693FA2">
      <w:pPr>
        <w:shd w:val="clear" w:color="auto" w:fill="FFFFFF"/>
        <w:spacing w:line="234" w:lineRule="atLeast"/>
        <w:rPr>
          <w:rFonts w:eastAsia="Times New Roman"/>
          <w:color w:val="000000"/>
          <w:sz w:val="22"/>
          <w:szCs w:val="22"/>
        </w:rPr>
      </w:pPr>
      <w:r w:rsidRPr="00693FA2">
        <w:rPr>
          <w:rFonts w:eastAsia="Times New Roman"/>
          <w:color w:val="000000"/>
          <w:sz w:val="22"/>
          <w:szCs w:val="22"/>
          <w:lang w:val="en-GB"/>
        </w:rPr>
        <w:t>- Đàm phán cạnh tranh theo quy định tại </w:t>
      </w:r>
      <w:bookmarkStart w:id="2" w:name="dc_129"/>
      <w:r w:rsidRPr="00693FA2">
        <w:rPr>
          <w:rFonts w:eastAsia="Times New Roman"/>
          <w:color w:val="000000"/>
          <w:sz w:val="22"/>
          <w:szCs w:val="22"/>
          <w:lang w:val="en-GB"/>
        </w:rPr>
        <w:t>Điều 38 của Luật PPP</w:t>
      </w:r>
      <w:bookmarkEnd w:id="2"/>
      <w:r w:rsidRPr="00693FA2">
        <w:rPr>
          <w:rFonts w:eastAsia="Times New Roman"/>
          <w:color w:val="000000"/>
          <w:sz w:val="22"/>
          <w:szCs w:val="22"/>
          <w:lang w:val="en-GB"/>
        </w:rPr>
        <w:t>.</w:t>
      </w:r>
    </w:p>
    <w:p w:rsidR="00693FA2" w:rsidRPr="00693FA2" w:rsidRDefault="00693FA2" w:rsidP="00693FA2">
      <w:pPr>
        <w:shd w:val="clear" w:color="auto" w:fill="FFFFFF"/>
        <w:spacing w:line="234" w:lineRule="atLeast"/>
        <w:rPr>
          <w:rFonts w:eastAsia="Times New Roman"/>
          <w:color w:val="000000"/>
          <w:sz w:val="22"/>
          <w:szCs w:val="22"/>
        </w:rPr>
      </w:pPr>
      <w:r w:rsidRPr="00693FA2">
        <w:rPr>
          <w:rFonts w:eastAsia="Times New Roman"/>
          <w:color w:val="000000"/>
          <w:sz w:val="22"/>
          <w:szCs w:val="22"/>
          <w:lang w:val="en-GB"/>
        </w:rPr>
        <w:t>- Chỉ định nhà đầu tư theo quy định tại </w:t>
      </w:r>
      <w:bookmarkStart w:id="3" w:name="dc_130"/>
      <w:r w:rsidRPr="00693FA2">
        <w:rPr>
          <w:rFonts w:eastAsia="Times New Roman"/>
          <w:color w:val="000000"/>
          <w:sz w:val="22"/>
          <w:szCs w:val="22"/>
          <w:lang w:val="en-GB"/>
        </w:rPr>
        <w:t>khoản 1 Điều 39 của Luật PPP</w:t>
      </w:r>
      <w:bookmarkEnd w:id="3"/>
      <w:r w:rsidRPr="00693FA2">
        <w:rPr>
          <w:rFonts w:eastAsia="Times New Roman"/>
          <w:color w:val="000000"/>
          <w:sz w:val="22"/>
          <w:szCs w:val="22"/>
          <w:lang w:val="en-GB"/>
        </w:rPr>
        <w:t>.</w:t>
      </w:r>
    </w:p>
    <w:p w:rsidR="00693FA2" w:rsidRPr="00693FA2" w:rsidRDefault="00693FA2" w:rsidP="00693FA2">
      <w:pPr>
        <w:shd w:val="clear" w:color="auto" w:fill="FFFFFF"/>
        <w:spacing w:line="234" w:lineRule="atLeast"/>
        <w:rPr>
          <w:rFonts w:eastAsia="Times New Roman"/>
          <w:color w:val="000000"/>
          <w:sz w:val="22"/>
          <w:szCs w:val="22"/>
        </w:rPr>
      </w:pPr>
      <w:r w:rsidRPr="00693FA2">
        <w:rPr>
          <w:rFonts w:eastAsia="Times New Roman"/>
          <w:color w:val="000000"/>
          <w:sz w:val="22"/>
          <w:szCs w:val="22"/>
          <w:lang w:val="en-GB"/>
        </w:rPr>
        <w:t>- Lựa chọn nhà đầu tư theo trường hợp đặc biệt theo quy định tại </w:t>
      </w:r>
      <w:bookmarkStart w:id="4" w:name="dc_131"/>
      <w:r w:rsidRPr="00693FA2">
        <w:rPr>
          <w:rFonts w:eastAsia="Times New Roman"/>
          <w:color w:val="000000"/>
          <w:sz w:val="22"/>
          <w:szCs w:val="22"/>
          <w:lang w:val="en-GB"/>
        </w:rPr>
        <w:t>khoản 1 Điều 40 của Luật PPP</w:t>
      </w:r>
      <w:bookmarkEnd w:id="4"/>
      <w:r w:rsidRPr="00693FA2">
        <w:rPr>
          <w:rFonts w:eastAsia="Times New Roman"/>
          <w:color w:val="000000"/>
          <w:sz w:val="22"/>
          <w:szCs w:val="22"/>
          <w:lang w:val="en-GB"/>
        </w:rPr>
        <w: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6. Sự phù hợp của kế hoạch triển khai dự án, cơ chế giám sát và quản lý dự án (trường hợp có nội dung thay đổi so với báo cáo nghiên cứu tiền khả thi, báo cáo đề xuất chủ trương đầu tư)</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Xem xét và có ý kiến cụ thể về sự phù hợp của kế hoạch tổ chức triển khai dự án (bao gồm cả đánh giá khả năng tổ chức triển khai dự án của cơ quan ký kết hợp đồng và bên mời thầu), cơ chế giám sát và quản lý dự án được trình bày trong BCNCKT, BCKTKT.</w:t>
      </w:r>
    </w:p>
    <w:p w:rsidR="00693FA2" w:rsidRPr="00693FA2" w:rsidRDefault="00693FA2" w:rsidP="00693FA2">
      <w:pPr>
        <w:shd w:val="clear" w:color="auto" w:fill="FFFFFF"/>
        <w:spacing w:line="234" w:lineRule="atLeast"/>
        <w:rPr>
          <w:rFonts w:eastAsia="Times New Roman"/>
          <w:color w:val="000000"/>
          <w:sz w:val="22"/>
          <w:szCs w:val="22"/>
        </w:rPr>
      </w:pPr>
      <w:r w:rsidRPr="00693FA2">
        <w:rPr>
          <w:rFonts w:eastAsia="Times New Roman"/>
          <w:color w:val="000000"/>
          <w:sz w:val="22"/>
          <w:szCs w:val="22"/>
          <w:lang w:val="en-GB"/>
        </w:rPr>
        <w:t>7. Tính khả thi của phương án thu xếp vốn của nhà đầu tư (đối với dự án PPP quy định tại </w:t>
      </w:r>
      <w:bookmarkStart w:id="5" w:name="dc_132"/>
      <w:r w:rsidRPr="00693FA2">
        <w:rPr>
          <w:rFonts w:eastAsia="Times New Roman"/>
          <w:color w:val="000000"/>
          <w:sz w:val="22"/>
          <w:szCs w:val="22"/>
          <w:lang w:val="en-GB"/>
        </w:rPr>
        <w:t>khoản 4 Điều 11 của Luật PPP</w:t>
      </w:r>
      <w:bookmarkEnd w:id="5"/>
      <w:r w:rsidRPr="00693FA2">
        <w:rPr>
          <w:rFonts w:eastAsia="Times New Roman"/>
          <w:color w:val="000000"/>
          <w:sz w:val="22"/>
          <w:szCs w:val="22"/>
          <w:lang w:val="en-GB"/>
        </w:rPr>
        <w:t>)</w:t>
      </w:r>
    </w:p>
    <w:p w:rsidR="00693FA2" w:rsidRPr="00693FA2" w:rsidRDefault="00693FA2" w:rsidP="00693FA2">
      <w:pPr>
        <w:shd w:val="clear" w:color="auto" w:fill="FFFFFF"/>
        <w:spacing w:line="234" w:lineRule="atLeast"/>
        <w:rPr>
          <w:rFonts w:eastAsia="Times New Roman"/>
          <w:color w:val="000000"/>
          <w:sz w:val="22"/>
          <w:szCs w:val="22"/>
        </w:rPr>
      </w:pPr>
      <w:r w:rsidRPr="00693FA2">
        <w:rPr>
          <w:rFonts w:eastAsia="Times New Roman"/>
          <w:color w:val="000000"/>
          <w:sz w:val="22"/>
          <w:szCs w:val="22"/>
          <w:lang w:val="en-GB"/>
        </w:rPr>
        <w:t>8. Sự phù hợp của nội dung dự thảo hợp đồng (đối với dự án PPP quy định tại </w:t>
      </w:r>
      <w:bookmarkStart w:id="6" w:name="dc_133"/>
      <w:r w:rsidRPr="00693FA2">
        <w:rPr>
          <w:rFonts w:eastAsia="Times New Roman"/>
          <w:color w:val="000000"/>
          <w:sz w:val="22"/>
          <w:szCs w:val="22"/>
          <w:lang w:val="en-GB"/>
        </w:rPr>
        <w:t>khoản 4 Điều 11 của Luật PPP</w:t>
      </w:r>
      <w:bookmarkEnd w:id="6"/>
      <w:r w:rsidRPr="00693FA2">
        <w:rPr>
          <w:rFonts w:eastAsia="Times New Roman"/>
          <w:color w:val="000000"/>
          <w:sz w:val="22"/>
          <w:szCs w:val="22"/>
          <w:lang w:val="en-GB"/>
        </w:rPr>
        <w: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b/>
          <w:bCs/>
          <w:color w:val="000000"/>
          <w:sz w:val="22"/>
          <w:szCs w:val="22"/>
          <w:lang w:val="en-GB"/>
        </w:rPr>
        <w:t>D. NHẬN XÉT VÀ KIẾN NGHỊ</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Trên cơ sở các phân tích nêu trên, nhận xét tổng quát về BCNCKT, BCKTKT và nêu rõ kiến nghị theo một trong hai trường hợp sau đây:</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1. Trường hợp BCNCKT, BCKTKT phù hợp với quy định của pháp luật và được đánh giá là khả thi để triển khai đầu tư theo phương thức PPP, kiến nghị cấp có thẩm quyền phê duyệt dự án.</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2. Trường hợp không thống nhất với nội dung của BCNCKT, BCKTKT báo cáo cấp có thẩm quyền xem xét, quyết định theo một trong hai phương án sau:</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a) Phương án 1: Yêu cầu đơn vị chuẩn bị dự án, nhà đầu tư điều chỉnh BCNCKT, BCKTKT.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b) Phương án 2: Không phê duyệt BCNCKT, BCKTKT.</w:t>
      </w:r>
    </w:p>
    <w:p w:rsidR="00693FA2" w:rsidRPr="00693FA2" w:rsidRDefault="00693FA2" w:rsidP="00693FA2">
      <w:pPr>
        <w:shd w:val="clear" w:color="auto" w:fill="FFFFFF"/>
        <w:spacing w:before="120" w:after="120" w:line="234" w:lineRule="atLeast"/>
        <w:rPr>
          <w:rFonts w:eastAsia="Times New Roman"/>
          <w:color w:val="000000"/>
          <w:sz w:val="22"/>
          <w:szCs w:val="22"/>
        </w:rPr>
      </w:pPr>
      <w:r w:rsidRPr="00693FA2">
        <w:rPr>
          <w:rFonts w:eastAsia="Times New Roman"/>
          <w:color w:val="000000"/>
          <w:sz w:val="22"/>
          <w:szCs w:val="22"/>
          <w:lang w:val="en-GB"/>
        </w:rPr>
        <w:t> </w:t>
      </w:r>
    </w:p>
    <w:bookmarkEnd w:id="0"/>
    <w:p w:rsidR="005E77DF" w:rsidRPr="00CF4EB6" w:rsidRDefault="005E77DF" w:rsidP="00693FA2">
      <w:pPr>
        <w:rPr>
          <w:sz w:val="22"/>
          <w:szCs w:val="22"/>
        </w:rPr>
      </w:pPr>
    </w:p>
    <w:sectPr w:rsidR="005E77DF" w:rsidRPr="00CF4EB6"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DC4" w:rsidRDefault="000C5DC4" w:rsidP="00CD0C9D">
      <w:r>
        <w:separator/>
      </w:r>
    </w:p>
  </w:endnote>
  <w:endnote w:type="continuationSeparator" w:id="0">
    <w:p w:rsidR="000C5DC4" w:rsidRDefault="000C5DC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DC4" w:rsidRDefault="000C5DC4" w:rsidP="00CD0C9D">
      <w:r>
        <w:separator/>
      </w:r>
    </w:p>
  </w:footnote>
  <w:footnote w:type="continuationSeparator" w:id="0">
    <w:p w:rsidR="000C5DC4" w:rsidRDefault="000C5DC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E5CCA"/>
    <w:rsid w:val="00CF32B5"/>
    <w:rsid w:val="00CF4244"/>
    <w:rsid w:val="00CF4EB6"/>
    <w:rsid w:val="00D0140D"/>
    <w:rsid w:val="00D10363"/>
    <w:rsid w:val="00D13ED7"/>
    <w:rsid w:val="00D15D00"/>
    <w:rsid w:val="00D15EFD"/>
    <w:rsid w:val="00D161FB"/>
    <w:rsid w:val="00D17EEA"/>
    <w:rsid w:val="00D20B04"/>
    <w:rsid w:val="00D219B4"/>
    <w:rsid w:val="00D24699"/>
    <w:rsid w:val="00D27882"/>
    <w:rsid w:val="00D31133"/>
    <w:rsid w:val="00D343B7"/>
    <w:rsid w:val="00D34451"/>
    <w:rsid w:val="00D36EA9"/>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1DCB1-2140-4A30-A224-599D90129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13803</TotalTime>
  <Pages>4</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1484</cp:revision>
  <cp:lastPrinted>2025-07-21T01:29:00Z</cp:lastPrinted>
  <dcterms:created xsi:type="dcterms:W3CDTF">2025-01-14T02:58:00Z</dcterms:created>
  <dcterms:modified xsi:type="dcterms:W3CDTF">2025-09-23T08:02:00Z</dcterms:modified>
</cp:coreProperties>
</file>