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0" w:after="120"/>
        <w:jc w:val="center"/>
        <w:rPr>
          <w:rFonts w:ascii="Times New Roman" w:hAnsi="Times New Roman"/>
          <w:b/>
          <w:i w:val="false"/>
          <w:caps w:val="false"/>
          <w:smallCaps w:val="false"/>
          <w:strike w:val="false"/>
          <w:dstrike w:val="false"/>
          <w:color w:val="000000"/>
          <w:spacing w:val="0"/>
          <w:sz w:val="24"/>
          <w:u w:val="none"/>
          <w:effect w:val="none"/>
          <w:lang w:val="vi-VN"/>
        </w:rPr>
      </w:pPr>
      <w:bookmarkStart w:id="0" w:name="chuong_pl_1"/>
      <w:bookmarkEnd w:id="0"/>
      <w:r>
        <w:rPr>
          <w:rFonts w:eastAsia="Times New Roman" w:ascii="Times New Roman" w:hAnsi="Times New Roman"/>
          <w:b/>
          <w:i w:val="false"/>
          <w:caps w:val="false"/>
          <w:smallCaps w:val="false"/>
          <w:strike w:val="false"/>
          <w:dstrike w:val="false"/>
          <w:color w:val="000000"/>
          <w:spacing w:val="0"/>
          <w:sz w:val="24"/>
          <w:u w:val="none"/>
          <w:effect w:val="none"/>
          <w:lang w:val="vi-VN"/>
        </w:rPr>
        <w:t>PHỤ LỤC I</w:t>
      </w:r>
    </w:p>
    <w:p>
      <w:pPr>
        <w:pStyle w:val="TextBody"/>
        <w:widowControl/>
        <w:pBdr/>
        <w:spacing w:lineRule="atLeast" w:line="225" w:before="0" w:after="0"/>
        <w:ind w:left="0" w:right="0" w:hanging="0"/>
        <w:jc w:val="center"/>
        <w:rPr>
          <w:rFonts w:ascii="Times New Roman" w:hAnsi="Times New Roman"/>
          <w:b w:val="false"/>
          <w:i w:val="false"/>
          <w:caps w:val="false"/>
          <w:smallCaps w:val="false"/>
          <w:color w:val="000000"/>
          <w:spacing w:val="0"/>
          <w:sz w:val="18"/>
        </w:rPr>
      </w:pPr>
      <w:bookmarkStart w:id="1" w:name="chuong_pl_1_name"/>
      <w:bookmarkEnd w:id="1"/>
      <w:r>
        <w:rPr>
          <w:rFonts w:ascii="Times New Roman" w:hAnsi="Times New Roman"/>
          <w:b w:val="false"/>
          <w:i w:val="false"/>
          <w:caps w:val="false"/>
          <w:smallCaps w:val="false"/>
          <w:strike w:val="false"/>
          <w:dstrike w:val="false"/>
          <w:color w:val="000000"/>
          <w:spacing w:val="0"/>
          <w:sz w:val="18"/>
          <w:u w:val="none"/>
          <w:effect w:val="none"/>
          <w:lang w:val="vi-VN"/>
        </w:rPr>
        <w:t>DANH MỤC HÀNG HÓA, DỊCH VỤ KHÔNG ĐƯỢC GIẢM THUẾ SUẤT THUẾ GIÁ TRỊ GIA TĂNG</w:t>
      </w:r>
      <w:r>
        <w:rPr>
          <w:rFonts w:ascii="Times New Roman" w:hAnsi="Times New Roman"/>
          <w:b w:val="false"/>
          <w:i w:val="false"/>
          <w:caps w:val="false"/>
          <w:smallCaps w:val="false"/>
          <w:color w:val="000000"/>
          <w:spacing w:val="0"/>
          <w:sz w:val="18"/>
          <w:lang w:val="vi-VN"/>
        </w:rPr>
        <w:br/>
      </w:r>
      <w:r>
        <w:rPr>
          <w:rFonts w:ascii="Times New Roman" w:hAnsi="Times New Roman"/>
          <w:b w:val="false"/>
          <w:i/>
          <w:caps w:val="false"/>
          <w:smallCaps w:val="false"/>
          <w:color w:val="000000"/>
          <w:spacing w:val="0"/>
          <w:sz w:val="18"/>
          <w:lang w:val="vi-VN"/>
        </w:rPr>
        <w:t>(Kèm theo Nghị định số 174/2025/NĐ-CP ngày 30 tháng 6 năm 2025 của Chính phủ)</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00"/>
        <w:gridCol w:w="593"/>
        <w:gridCol w:w="593"/>
        <w:gridCol w:w="619"/>
        <w:gridCol w:w="737"/>
        <w:gridCol w:w="801"/>
        <w:gridCol w:w="973"/>
        <w:gridCol w:w="1429"/>
        <w:gridCol w:w="1575"/>
        <w:gridCol w:w="1440"/>
      </w:tblGrid>
      <w:tr>
        <w:trPr/>
        <w:tc>
          <w:tcPr>
            <w:tcW w:w="60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1</w:t>
            </w:r>
          </w:p>
        </w:tc>
        <w:tc>
          <w:tcPr>
            <w:tcW w:w="5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2</w:t>
            </w:r>
          </w:p>
        </w:tc>
        <w:tc>
          <w:tcPr>
            <w:tcW w:w="5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3</w:t>
            </w:r>
          </w:p>
        </w:tc>
        <w:tc>
          <w:tcPr>
            <w:tcW w:w="61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4</w:t>
            </w:r>
          </w:p>
        </w:tc>
        <w:tc>
          <w:tcPr>
            <w:tcW w:w="73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5</w:t>
            </w:r>
          </w:p>
        </w:tc>
        <w:tc>
          <w:tcPr>
            <w:tcW w:w="80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6</w:t>
            </w:r>
          </w:p>
        </w:tc>
        <w:tc>
          <w:tcPr>
            <w:tcW w:w="97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Cấp 7</w:t>
            </w:r>
          </w:p>
        </w:tc>
        <w:tc>
          <w:tcPr>
            <w:tcW w:w="142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Tên sản phẩm</w:t>
            </w:r>
          </w:p>
        </w:tc>
        <w:tc>
          <w:tcPr>
            <w:tcW w:w="15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Nội dung</w:t>
            </w:r>
          </w:p>
        </w:tc>
        <w:tc>
          <w:tcPr>
            <w:tcW w:w="144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Mã số HS (áp dụng đối với hàng hóa tại khâu nhập khẩu)</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(1)</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(4)</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(9)</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B</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SẢN PHẨM KHAI KHOÁNG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Dầu thô và khí đốt tự nhiên khai thác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27.07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27.09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Dầu thô khai thác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27.09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0610010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Dầu mỏ và dầu thu được từ khoáng bitum, ở dạng thô</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dầu mỏ thô; Condensate và dầu thô loại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27.09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0610020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phiến sét dầu hoặc đá phiến sét bitum, cát hắc ín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2714.10.00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Khí tự nhiên dạng khí hoặc hóa lỏng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0620001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Khí tự nhiên dạng hóa lỏng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2711.11.00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0620002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Khí tự nhiên dạng khí</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2711.21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và tinh quặng kim loại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07100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071000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0710000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sắt và tinh quặng sắt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Quặng sắt và tinh quặng sắt chưa nung kết và đã nung kết</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Trừ pirit sắt đã hoặc chưa nung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2601.11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2601.12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2601.20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khác không chứa sắt (trừ quặng kim loại quý hiếm)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0721000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uranium, quặng thorium và tinh các loại quặng đó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Chỉ tính phần khai thác các loại quặng uranium và quặng thorium, không tính phần làm giàu các loại quặng đó</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khác không chứa sắt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Tính cả sản phẩm trong quá trình khai thác và làm giàu</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072210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0722100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bôxít và tinh quặng bôxit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bôxit còn gọi là quặng nhôm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2606.00.00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khác không chứa sắt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mangan, đồng, niken, coban, crôm, vonfram và tinh các loại quặng đó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2602.00.00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2603.00.00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2604.00.00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2605.00.00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2610.00.00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2611.00.00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mangan và tinh quặng mangan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Kể cả quặng mangan chứa sắt và tinh quặng mangan chứa sắt với hàm lượng magan từ 20% trở lên, tính theo trọng lượng khô</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2602.00.00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đồng và tinh quặng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2603.00.00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niken và tinh quặng niken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2604.00.00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coban và tinh quặng coban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2605.00.00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crôm và tinh quặng crôm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2610.00.00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0722916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vonfram và tinh quặng vonfram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2611.00.00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chì, kẽm, thiếc và tinh các loại quặng đó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2607.00.00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2608.00.00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2609.00.00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chì và tinh quặng chì</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2607.00.00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kẽm và tinh quặng kẽm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2608.00.00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0722923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thiếc và tinh quặng thiếc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2609.00.00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molipden và tinh quặng molipden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Quặng molipden và tinh quặng molipden đã nung; Quặng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molipden và tinh quặng molipden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titan và tinh quặng titan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ilmenite và tinh quặng ilmenite</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2614.00.10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rutil và tinh quặng rutil</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2614.00.90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0722943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monazite và tinh quặng monazite</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2612.20.00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0722949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titan khác và tinh quặng titan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2614.00.90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0722950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antimon và tinh quặng antimon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2617.10.00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072296</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niobi, tantali, vanadi, zircon và tinh các loại quặng đó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0722961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zircon và tinh quặng zircon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2615.10.00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0722962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niobi tantali, vanadi và tinh quặng niobi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2615.90.00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0722990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và tinh quặng kim loại khác không chứa sắt chưa được phân vào đâu còn lại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2617.90.00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quý hiếm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bạc và tinh quặng bạc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2616.10.00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vàng và tinh quặng vàng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2616.90.00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0730003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bạch kim và tinh quặng bạch kim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2616.90.00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1730009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kim loại quý và tinh quặng kim loại quý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2616.90.00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khai khoáng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cát, sỏi, đất sét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khai thác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Đẽo thô hay cắt bằng cưa hoặc bằng cách khác. Loại trừ: Các sản phẩm được cắt tạo dáng, hoàn thiện được phân vào nhóm 23960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xây dựng và trang trí</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68.02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68.03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cẩm thạch (đá hoa), đá hoa trắng, travertine, ecausine và đá vôi khác, thạch cao tuyết hoa, đã hoặc chưa đẽo thô hoặc mới chỉ cắt thành khối hoặc tấm hình chữ nhật, hình vuông.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dùng để làm tượng đài hoặc đá xây dựng có trọng lượng riêng từ 2,5 trở lên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granit, đá pocfia, bazan, đá cát kết (sa thạch), đá quartzite và đá khác đã hoặc chưa đẽo thô hoặc mới chỉ cắt thành khối hoặc tấm hình chữ nhật, hình vuông.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dùng để làm tượng đài hoặc đá xây dựng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vôi và các loại đá có chứa canxi khác, dùng để sản xuất vôi hoặc xi măng; thạch cao và thạch cao khan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2521.00.00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2520.10.00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vôi và các loại đá có chứa canxi khác dùng để sản xuất vôi hoặc xi măng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2521.00.00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Thạch cao, thạch cao khan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2520.10.00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phấn và đolomit chưa nung hoặc thiêu kết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2509.00.00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0810131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phấn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phấn làm vật liệu chịu lửa</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2509.00.00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0810132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Đolomit chưa nung hoặc thiêu kết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Đolomit không chứa canxi Đolomit đã nung hoặc thiêu kết thuộc ngành 2394</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0810140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phiến, đã hoặc chưa đẽo thô hay mới chì cắt thành khối hoặc tấm hình chữ nhật, hình vuông.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2514.00.00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Cát, sỏi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Cát tự nhiên, đã hoặc chưa nhuộm màu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cát ôxit silic, cát thạch anh và cát tự nhiên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Sỏi, đá cuội; đá dạng viên, mảnh vụn và bột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Sỏi, đá cuội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Chủ yếu để làm cốt bê tông, để rải đường bộ hay đường sắt</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dạng viên, dạng mảnh vụn và dạng bột làm từ các loại đá thuộc nhóm đá xây dựng và trang trí</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2517.41.00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2517.49.00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0810230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Hỗn hợp cát, đá, sỏi và chất thải công nghiệp tận thu trong quá trình khai thác dùng cho xây dựng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2517.20.00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2517.30.00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08103</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Đất sét và cao lanh các loại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081031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0810310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Cao lanh và đất sét cao lanh khác đã hoặc chưa nung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2507.00.00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081032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0810320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Đất sét khác, andalusite, kyanite và silimanite, mullite; đất chịu lửa hay đất dinas</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Bao gồm các loại đất sét như: đất sét chịu lửa; Bentonit; Andalusite, kyanite và silimanite; Mullite và đất chịu lửa hay đất dinas...</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Không gồm đất sét trương nở</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khai khoáng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hóa chất và khoáng phân bón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Canxi phosphat tự nhiên, canxi phosphat nhôm tự nhiên và đá phấn có chứa phosphat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Bao gồm cả quặng apatit</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Pirit sắt chưa nung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Pirit chứa 33% lưu huỳnh;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Pirit sắt đã nung thuộc ngành 2011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2502.00.00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hóa chất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Bari sulfat tự nhiên, bari carbonat tự nhiên đã hoặc chưa nung, trừ bari oxit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borat tự nhiên, tinh quặng borat tự nhiên, nhưng không kể borat tách từ nước biển tự nhiên. Axit boric tự nhiên chứa không quá 85% H3BO4 tính theo trọng lượng khô</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borat, tinh quặng borat đã hoặc chưa nung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2528.00.00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flourit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2529.21.00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2529.22.00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Kiezerit, epsomit (magie sulphat tự nhiên)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2530.20.10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2530.20.20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có chứa kali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Khoáng Carnallite; Khoáng Sylvite</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2530.90.90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từ phân động vật dùng để làm phân bón hoặc nhiên liệu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0891099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Khoáng hóa chất và khoáng phân bón khác chưa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0893</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08930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089300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0893000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Muối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muối biển và muối mỏ khai thác, chưa qua chế biến.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khai khoáng khác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quí và đá bán quí, kim cương, và các loại đá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quí, đá bán quí chưa được gia công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các loại đá quí như: đá rubi, ngọc bích... Sản phẩm này cũng bao gồm cả các loại mới chỉ cắt đơn giản hoặc tạo hình thô</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7103.10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cương (trừ kim cương công nghiệp)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kim cương chưa được phân loại hoặc mới chỉ được cắt, tách một cách đơn giản hay mới chỉ được chuốt hoặc mài sơ qua</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7102.10.00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7102.31.00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7102.39.00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cương chất lượng công nghiệp, chưa gia công hoặc mới chỉ được cắt, tách một cách đơn giản hay mới chỉ được chuốt hoặc mài sơ qua</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7102.21.00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7102.29.00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Đá bọt, đá nhám, corundum tự nhiên, granet (dạ minh châu) tự nhiên và đá mài tự nhiên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0899015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Bitum và asphalt ở dạng tự nhiên; Asphantite và đá chứa asphalt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2714.90.00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khai khoáng khác chưa được phân vào đâu còn lại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graphit tự nhiên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thạch anh, trừ cát tự nhiên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2506.10.00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Bột hóa thạch silic và đất silic tương tự</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fr-FR"/>
              </w:rPr>
            </w:pPr>
            <w:r>
              <w:rPr>
                <w:rFonts w:ascii="Times New Roman" w:hAnsi="Times New Roman"/>
                <w:lang w:val="fr-FR"/>
              </w:rPr>
              <w:t>Gồm cả đất tảo cát, tripolite và diatomite</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2512.00.00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Magiê carbonat tự nhiên (magiezit), magiê ôxit nấu chảy, Magiê ôxit nung trơ (thiêu kết), magiê ôxit khác tinh khiết hoặc không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25.19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amiang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mica</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Mica thô và mica đã tách thành tấm hay lớp; Bột mica</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0899097</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Quặng steatit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quặng steatit tự nhiên thô hoặc cắt thành khối hoặc tấm và quặng steatit đã nghiền thành bột</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0899098</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Tràng thạch (đá bồ tát)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Còn gọi là Felspar</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2529.10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0899099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khai khoáng khác chưa được phân vào đâu còn lại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các loại như: Leucite, nepheline và nepheline syenite; Vermiculite, đá trân châu và clorit, chưa giãn nở;...</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2529.30.00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25.30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C</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SẢN PHẨM CÔNG NGHIỆP CHẾ BIẾN, CHẾ TẠO</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kim loại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gang, sắt,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gang, sắt, thép cơ bản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Gang, gang thỏi không hợp kim; gang thỏi hợp kim; gang thỏi giàu mangan, hợp kim sắt-cacbon chứa trên 6% nhưng không quá 30% mangan tính theo trọng lượng dạng khối hoặc dạng cơ bản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7204.10.00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Hợp kim sắt (hợp kim Fero)</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Hợp kim sắt Mangan; Hợp kim sắt Silic; Hợp kim sắt Silic - Mangan; Hợp kim sắt Crôm; Hợp kim sắt Silic - Crôm; Hợp kim sắt Niken; Hợp kim sắt Molipden; Hợp kim sắt Vonfram và hợp kim Silic - Vonfram; Hợp kim sắt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chứa sắt được hoàn nguyên trực tiếp từ quặng sắt và các sản phẩm sắt xốp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Dạng tảng, cục hoặc dạng tương tự; sắt có độ sạch tối thiểu 99,94% dạng tảng, cục hoặc dạng tương tự</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2410014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Hột và bột của gang thỏi không hợp kim; gang thỏi hợp kim; gang thỏi giàu mangan, hợp kim sắt-cacbon chứa trên 6% nhưng không quá 30% mangan tính theo trọng lượng dạng khối hoặc dạng cơ bản khác, sắt,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7201.50.00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thô</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gồm thép không gỉ và thép hợp kim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7218.10.00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7224.10.00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dạng thỏi đúc hoặc dạng thô khác; thép không hợp kim ở dạng bán thành phẩm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dạng thỏi hoặc dạng cơ bản thô khác; Thép không gỉ ở dạng bán thành phẩm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2410023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khác dạng thỏi đúc hoặc dạng thô khác; Thép hợp kim khác ở dạng bán thành phẩm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thép cuộn phẳng không gia công quá mức cuộn nóng,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72.08</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7219.12.00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7219.13.00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7219.14.00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7220.12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7225.30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7226.91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cuộn phẳng không gia công quá mức cuộn nóng, có chiều rộng ≥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hợp kim cuộn phẳng không gia công quá mức cuộn nóng, dạng cuộn, có chiều rộng ≥ 600mm, chưa được dát phủ, mạ hoặc tráng; Thép không hợp kim cuộn phẳng không gia công quá mức cuộn nóng, dạng không cuộn, có chiều rộng ≥ 600mm, chưa được dát phủ, mạ hoặc tráng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cuộn phẳng không gia công quá mức cuộn nóng, có chiều rộng ≥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gỉ cuộn phẳng không gia công quá mức cuộn nóng, dạng cuộn, có chiều rộng ≥ 600mm; Thép không gỉ cuộn phẳng không gia công quá mức cuộn nóng, dạng không cuộn, có chiều rộng ≥ 600mm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7219.12.00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7219.13.00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7219.14.00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7219.21.00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7219.22.00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7219.23.00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7219.24.00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khác cuộn phẳng không gia công quá mức cuộn nóng, có chiều rộng ≥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hợp kim khác cuộn phẳng không gia công quá mức cuộn nóng, dạng cuộn, có chiều rộng ≥ 600mm; Thép hợp kim khác cuộn phẳng không gia công quá mức cuộn nóng, dạng không cuộn, có chiều rộng ≥ 600mm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7225.30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7225.40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spacing w:before="0" w:after="283"/>
              <w:rPr>
                <w:rFonts w:ascii="Times New Roman" w:hAnsi="Times New Roman"/>
                <w:sz w:val="20"/>
                <w:lang w:val="vi-VN"/>
              </w:rPr>
            </w:pPr>
            <w:r>
              <w:rPr>
                <w:rFonts w:ascii="Times New Roman" w:hAnsi="Times New Roman"/>
                <w:sz w:val="20"/>
                <w:lang w:val="vi-VN"/>
              </w:rPr>
            </w:r>
          </w:p>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cuộn phẳng không gia công quá mức cuộn nóng, có chiều rộng &lt;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7211.19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cuộn phẳng không gia công quá mức cuộn nóng, có chiều rộng &lt;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7220.12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2410036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khác cuộn phẳng không gia công quá mức cuộn nóng, có chiều rộng &lt;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7226.91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thép cuộn phẳng không gia công quá mức cuộn nguội (ép nguội),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7219.32.00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7219.33.00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7219.34.00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7219.35.00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7225.50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7226.92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cuộn phẳng không gia công quá mức cuộn nguội, có chiều rộng ≥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hợp kim cuộn phẳng không gia công quá mức cuộn nguội, dạng cuộn, có chiều rộng ≥ 600mm, chưa được dát phủ, mạ hoặc tráng; Thép không hợp kim cuộn phẳng không gia công quá mức cuộn nguội, dạng không cuộn, có chiều rộng ≥ 600mm, chưa được dát phủ, mạ hoặc tráng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cuộn phẳng không gia công quá mức cuộn nguội, có chiều rộng ≥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7219.32.00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7219.33.00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7219.34.00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7219.35.00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spacing w:before="0" w:after="283"/>
              <w:rPr>
                <w:rFonts w:ascii="Times New Roman" w:hAnsi="Times New Roman"/>
                <w:sz w:val="20"/>
                <w:lang w:val="vi-VN"/>
              </w:rPr>
            </w:pPr>
            <w:r>
              <w:rPr>
                <w:rFonts w:ascii="Times New Roman" w:hAnsi="Times New Roman"/>
                <w:sz w:val="20"/>
                <w:lang w:val="vi-VN"/>
              </w:rPr>
            </w:r>
          </w:p>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khác cuộn phẳng không gia công quá mức cuộn nguội, có chiều rộng ≥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7225.50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cuộn phẳng không gia công quá mức cuộn nguội, có chiều rộng &lt; 600mm, chưa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cuộn phẳng không gia công quá mức cuộn nguội, có chiều rộng &lt;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7220.20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2410046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khác cuộn mỏng không gia công quá mức cuộn nguội, có chiều rộng &lt;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7226.92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thép cuộn phẳng đã được dát phủ, mạ hoặc tráng; Sản phẩm thép kỹ thuật điện, thép gió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cuộn phẳng có chiều rộng ≥ 600mm, đã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hợp kim cuộn phẳng có chiều rộng ≥ 600mm, được mạ hoặc tráng thiếc; Thép không hợp kim cuộn phẳng có chiều rộng ≥ 600mm, được mạ hoặc tráng chì kể cả hợp kim chì thiếc; Thép không hợp kim cuộn phẳng có chiều rộng ≥ 600mm, được mạ hoặc tráng kẽm bằng phương pháp điện phân; Thép không hợp kim cuộn phẳng có chiều rộng ≥ 600mm, được mạ hoặc tráng kẽm bằng phương pháp khác; Thép không hợp kim cuộn phẳng có chiều rộng ≥ 600mm, được mạ hoặc tráng oxit crôm hoặc bằng crôm và oxit crôm; Thép không hợp kim cuộn phẳng có chiều rộng ≥ 600mm, được mạ hoặc tráng nhôm; Thép không hợp kim cuộn phẳng có chiều rộng ≥ 600mm, được sơn, quét vecni hoặc phủ plastic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hợp kim cán phẳng có chiều rộng &lt; 600mm, đã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hợp kim cán phẳng có chiều rộng &lt; 600mm, được mạ hoặc tráng thiếc; Thép không hợp kim cán phẳng có chiều rộng &lt; 600mm, được mạ hoặc tráng kẽm bằng phương pháp điện phân; Thép không hợp kim cán phẳng có chiều rộng &lt; 600mm, được mạ hoặc tráng kẽm bằng phương pháp khác; Thép không hợp kim cán phẳng có chiều rộng &lt; 600mm, được sơn, quét vecni hoặc phủ plastic; Thép không hợp kim cán phẳng có chiều rộng &lt; 600mm, được dát phủ; Thép không hợp kim cán phẳng có chiều rộng &lt; 600mm, đã mạ hoặc tráng bằng phương pháp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cán phẳng, có chiều rộng ≥ 600mm, đã được dát phủ, mạ hoặc tráng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hợp kim cán phẳng, có chiều rộng ≥ 600mm, được mạ hoặc tráng kẽm bằng phương pháp điện phân; Thép hợp kim cán phẳng, có chiều rộng ≥ 600mm, được mạ hoặc tráng kẽm bằng phương pháp khác; Thép hợp kim cán phẳng, có chiều rộng ≥ 600mm, được phủ, mạ, tráng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cuộn phẳng, có chiều rộng &lt; 600mm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cuộn phẳng, có chiều rộng ≥ 600mm, bằng thép silic kỹ thuật điện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7225.11.00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7225.19.00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cuộn phẳng, có chiều rộng &lt; 600mm, bằng thép silic kỹ thuật điện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7226.19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spacing w:before="0" w:after="283"/>
              <w:rPr>
                <w:rFonts w:ascii="Times New Roman" w:hAnsi="Times New Roman"/>
                <w:sz w:val="20"/>
                <w:lang w:val="vi-VN"/>
              </w:rPr>
            </w:pPr>
            <w:r>
              <w:rPr>
                <w:rFonts w:ascii="Times New Roman" w:hAnsi="Times New Roman"/>
                <w:sz w:val="20"/>
                <w:lang w:val="vi-VN"/>
              </w:rPr>
            </w:r>
          </w:p>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2410057</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cán mỏng, có chiều rộng &lt; 600mm, bằng thép gió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7226.20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Thép dạng thanh, que, dạng góc, khuôn hình cán nóng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7221.00.00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Thanh, que Thép không hợp kim được cán nóng, dạng cuộn cuốn không đều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Thanh, que thép không gỉ được cán nóng, dạng cuộn cuốn không đều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7221.00.00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Thanh, que thép hợp kim khác được cán nóng, dạng cuộn cuốn không đều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72.27</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hợp kim ở dạng thanh và que khác, chưa được gia công quá mức rèn, cán nóng, kéo nóng hoặc ép đùn nóng, nhưng kể cả những dạng này được xoắn sau khi cán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Thanh, que thép không hợp kim mới chỉ qua rèn, cán nóng, kéo nóng hoặc ép đùn nóng, kể cả công đoạn xoắn sau khi nóng; Thanh, que thép không hợp kim, tạo hình nguội</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7228.30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7228.40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7228.60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7228.70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7228.80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không gỉ dạng thanh, que chác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Thanh, que thép không gỉ, không gia công quá mức cán nóng, kéo nóng hoặc ép đùn qua khuôn; Thanh, que thép không gỉ, mới được gia công tạo hình nguội hoặc gia công kết nguội; Thanh, que thép không gỉ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7222.19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7222.30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Các dạng thanh, que khác bằng hợp kim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Thanh, que bằng thép gió; Thanh, que bằng thép silic mangan; Thanh, que bằng thép hợp kim rỗng; Thanh, que bằng thép hợp kim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2410067</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thanh, que ở dạng rỗng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7228.80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2410068</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dạng góc, khuôn, hình (trừ vật liệu xây dựng và góc, khuôn, hình đã được hàn)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Thép không hợp kim dạng góc, khuôn, hình; Thép không gỉ dạng góc, khuôn, hình; Thép hợp kim khác dạng góc, khuôn, hình</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7222.40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7228.70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2410069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Cọc cừ, ray xe lửa và các vật liệu xây dựng ray xe lửa bằng Thép; Góc, khuôn, hình bằng Thép đã được hàn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Cọc cừ bằng Thép; Góc, khuôn, hình bằng Thép đã được hàn; Vật liệu xây dựng đường ray xe lửa hoặc tàu điện bằng Thép</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241007</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Ống và ống dẫn, ống khớp nối các loại bằng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Đối với ống và khớp mối nối được tạo bằng phương pháp đúc thì cho vào nhóm ngành 24310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2410071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Ống bằng Thép không nối ghép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Ống dẫn bằng Thép không nối, dùng để dẫn dầu hoặc khí; ống chống bằng Thép không nối, dùng trong khoan dầu hoặc khí; ống khác không nối, mặt cắt hình tròn bằng Thép không hợp kim; Ống khác không nối, mặt cắt hình tròn bằng thép không gỉ; ống khác không nối, mặt cắt hình tròn bằng thép hợp kim khác; Ống và đường ống bằng Thép không nối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2410072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Ống và ống dẫn bằng thép có nối ghép (được hàn, tán bằng đinh, ghép với nhau bằng cách tương tự...)</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Ống dẫn bằng Thép có nối, dùng để dẫn dầu hoặc khí; Ống chống bằng Thép có nối, dùng trong khoan dầu hoặc khí; ống bằng Thép có nối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2410073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Phụ kiện ghép nối (trừ phụ kiện đúc)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7307.21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7307.22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7307.23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7307.29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7307.91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7307.92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7307.93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7307.99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241008</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Các sản phẩm thép cán nguội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72.09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7211.29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7219.34</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7219.35</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7225.50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7226.92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7228.50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2410081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Thanh, que cán nguội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7228.50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2410082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cuốn cỡ nhỏ (&lt;600 mm)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2410083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Thép hình, gấp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7222.40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7228.70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2410084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Dây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Dây thép không hợp kim (Gồm cả dây thép không hợp kim đã mạ hoặc chưa mạ); Dây thép không gỉ; Dây thép hợp kim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72.17</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72.29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2410090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sản xuất gang,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Sản phẩm kim loại màu và kim loại quý</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242010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loại quý và dịch vụ sản xuất kim loại quý</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7107.00.00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71.08</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7109.00.00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2420101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loại quý</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Bạc (Gồm: bạc đồ với vàng hoặc platin chưa gia công hoặc ở dạng bán thành phẩm hoặc bột; Vàng (Gồm: vàng đồ với platin) chưa gia công hoặc ở dạng bán thành phẩm hoặc bột; Bạch kim, chưa gia công hoặc ở dạng bán thành phẩm hoặc bột (Bạch kim là platin, paladi, rodi, iridi, osimi, ruteni); Kim loại cơ bản hoặc bạc, có tán vàng, chưa được gia công quá mức bán thành phẩm (“Kim loại cơ bản” có nghĩa là: Thép, đồng, niken, nhôm, chì, kẽm, thiếc, vonfram, molypden, tantali, magie, coban, bismut, cadimi, titan, zirconi, antimon, mangan, berili, crom, gemani, vanadi, gali, hafini, indi, niobi (columbi), rheni, tali); Kim loại cơ bản tán bạc, kim loại cơ bản, bạc hoặc vàng tán platin chưa được gia công quá mức bán thành phẩm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71.06</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7107.00.00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71.08</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7109.00.00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71.12</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2420102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sản xuất kim loại quý</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loại màu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Nhôm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76</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Nhôm chưa gia công, nhôm ôxit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Nhôm chưa gia công; Oxit nhôm, trừ nhân tạo</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76.01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2818.20.00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Bán thành phẩm bằng nhôm hoặc hợp kim nhôm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Bột và mảnh vụn nhôm; Thanh nhôm, que nhôm, nhôm ở dạng hình; Dây nhôm; Lát, tấm, mảng bằng nhôm dày hơn 0.2mm; Nhôm lá mỏng có độ dày không quá 0.2mm; ống và ống dẫn bằng nhôm; ống nối, khớp nối... các loại bằng nhôm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Chì, kẽm, thiếc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Thanh, que, dây chì; ống, ống dẫn, ống nối và các phụ kiện của ống bằng chì; ống, ống dẫn, ống nối và các phụ kiện của ống bằng kẽm; Bột và vảy thiếc; Lát, tấm, dải, lá bằng thiếc; Ống, ống dẫn, ống nối và các phụ kiện của ống bằng thiếc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78</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Chì, kẽm, thiếc chưa gia công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Chì chưa gia công; Kẽm chưa gia công; Thiếc chưa gia công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78.01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79.01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80.01</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Bán thành phẩm bằng chì, kẽm, thiếc hoặc hợp kim của chúng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Bột và vảy chì; Bột và vảy kẽm; Lát, tấm, dải, lá và lá mỏng bằng chì; Lát, tấm, dải, lá và lá mỏng bằng kẽm; Tấm cách nhiệt; Thanh, que và dây kẽm; Thanh, que, hình và dây thiếc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2420231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Đồng, hợp kim đồng chưa gia công, sten đồng, đồng xi măng hóa (đồng kết tủa)</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Sten đồng, xi măng đồng (Sten đồng là hỗn hợp thô; Xi măng đồng là đồng luyện bằng bột than); Đồng chưa tinh chế, anot đồng để điện phân tinh luyện; Đồng tinh luyện, đồng lõi; Hợp kim đồng chưa gia công (trừ hợp kim đồng chủ); Hợp kim đồng chủ</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(Thường sử dụng như chất phụ gia trong ngành luyện kim màu hoặc sử dụng trong sản xuất các hợp kim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7401.00.10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7401.00.20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7402.00.10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7402.00.90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74.03</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7404.00.00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7405.00.00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2420232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Bán thành phẩm, sản phẩm bằng đồng hoặc hợp kim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Bột đồng và vảy đồng; Thanh, que bằng đồng; Dây đồng; Lát, tấm, mảng bằng đồng dày hơn 0.15mm; Đồng lá mỏng có độ dày không quá 0.15mm; Ống và ống dẫn bằng đồng; Ống nối của ống hoặc của ống dẫn bằng đồng (VD: Khớp nối đôi, nối khuỷu, măng sông...)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Niken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75</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Niken chưa gia công; Sản phẩm trung gian của quá trình luyện niken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Niken sten, oxit niken và sản phẩm trung gian của nó; Niken chưa gia công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75.01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75.02</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7503.00.00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Bán thành phẩm, sản phẩm bằng niken hoặc hợp kim niken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Bột và vảy niken; Lát, tấm, dải, lá và lá mỏng bằng niken; Thanh, que, dây niken; ống và ống dẫn bằng niken; Ống nối và phụ kiện của ống và ống dẫn bằng niken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2420250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Kim loại khác không chứa sắt và sản phẩm của chúng: chất gốm kim loại, tro và chất lắng, cặn chứa kim loại hoặc hợp chất kim loại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Titan và sản phẩm của titan; Mangan và sản phẩm của Mangan; Antimon và sản phẩm của Antimon; Vonfram và sản phẩm của Vonfram; Molypden và sản phẩm của Molypden; Tantan và sản phẩm của Tantan; Magie và sản phẩm của Magie; Kim loại không chứa sắt khác; Gốm kim loại và sản phẩm của chúng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242026</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2420260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sản xuất kim loại không chứa sắt khác và sản phẩm của chúng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đúc kim loại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Bán thành phẩm và dịch vụ đúc gang,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Khuôn đúc bằng gang,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7325.10.90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7325.99.90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7326.90.99</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8480.10.00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8480.20.00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8480.30.90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8480.41.00</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8480.49.00</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Ống, ống dẫn, thanh hình có mặt cắt rỗng bằng gang đúc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cả trụ cứu hỏa</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73.03</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2431003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Phụ kiện ghép nối dạng đúc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7307.11</w:t>
            </w:r>
          </w:p>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7307.19</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2431004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đúc gang, thép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24320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243200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Khuôn đúc và dịch vụ đúc kim loại màu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2432001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Khuôn đúc bằng kim loại màu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2432002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đúc kim loại màu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J</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DỊCH VỤ THÔNG TIN VÀ TRUYỀN THÔNG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cung cấp trực tiếp dịch vụ viễn thông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truyền dữ liệu và điện tín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điện thoại cố định - truy cập và sử dụng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điện thoại cố định - gọi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mạng riêng cho hệ thống viễn thông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truyền dẫn cho hệ thống viễn thông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truyền dữ liệu trên mạng viễn thông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internet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mạng chủ internet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 cập internet băng thông hẹp trên mạng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6110143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 cập internet băng thông rộng trên mạng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6110149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internet có dây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phát các chương trình tại nhà trên cơ sở hạ tầng có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6110151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phát các chương trình tại nhà trên cơ sở hạ tầng có dây, gói chương trình cơ bản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6110152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phát các chương trình tại nhà trên toàn bộ cơ sở hạ tầng có dây, chương trình trả tiền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spacing w:before="0" w:after="283"/>
              <w:rPr>
                <w:rFonts w:ascii="Times New Roman" w:hAnsi="Times New Roman"/>
                <w:sz w:val="20"/>
                <w:lang w:val="vi-VN"/>
              </w:rPr>
            </w:pPr>
            <w:r>
              <w:rPr>
                <w:rFonts w:ascii="Times New Roman" w:hAnsi="Times New Roman"/>
                <w:sz w:val="20"/>
                <w:lang w:val="vi-VN"/>
              </w:rPr>
            </w:r>
          </w:p>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611020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6110200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cung cấp viễn thông có dây sử dụng quyền truy cập hạ tầng viễn thông của đơn vị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cung cấp trực tiếp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di động và mạng riêng cho hệ thống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di động -truy cập và sử dụng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không dây - cuộc gọi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mạng riêng cho hệ thống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hãng truyền thông trên mạng lưới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truyền dữ liệu trên toàn bộ mạng lưới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internet không dây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 cập internet băng thông hẹp trên toàn bộ mạng lưới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5120142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truy cập internet băng thông rộng trên toàn bộ mạng lưới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5120149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internet không dây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6120150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phát chương trình tại nhà qua mạng viễn thông không dây</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612020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6120200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cung cấp viễn thông không dây sử dụng quyền truy cập hạ tầng viễn thông của đơn vị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vệ tinh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6130010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vệ tinh, ngoại trừ dịch vụ phát các chương trình tại nhà qua vệ tinh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6130020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phát các chương trình tại nhà qua vệ tinh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619010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6190100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của các điểm truy cập internet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61909</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619090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6190900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viễn thông khác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K</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DỊCH VỤ TÀI CHÍNH, NGÂN HÀNG VÀ BẢO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tài chính (trừ dịch vụ bảo hiểm và dịch vụ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trung gian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6411000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ngân hàng trung ương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ký quỹ theo quy mô lớn và các giao dịch tài chính khác – Mở tài khoản cho các tổ chức tín dụng và Kho bạc Nhà nước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thi hành chính sách tiền tệ, chính sách an toàn vĩ mô</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dự trữ ngoại hối của chính phủ</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tác động đến giá trị của tiền tệ</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phát hành tiền tệ dưới sự quản lý của ngân hàng trung ương, Gồm: thiết kế, sắp xếp, phân phối và thay thế tiền tệ</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đại lý tài chính Gồm: dịch vụ tư vấn cho chính phủ về vấn đề liên quan đến trái phiếu Chính phủ, phát hành trái phiếu, duy trì hồ sơ người mua công trái và thực hiện việc chi trả thay mặt chính phủ các khoản tiền lãi cũng như thanh toán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trung gian tiền tệ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tiền gửi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tiền gửi cho các tập đoàn và các thể chế</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yêu cầu, thông báo và thời hạn tiền gửi, đến khách hàng kinh doanh lớn hoặc tổ chức lớn, Gồm: cả chính phủ</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tiền gửi cho các đối tượng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yêu cầu, thông báo và thời hạn tiền gửi đến người gửi tiền, trừ công ty và tổ chức, dịch vụ thanh toán, dịch vụ chứng nhận séc, dịch vụ ngừng thanh toán.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đóng gói hoặc sắp xếp tiền giấy hoặc tiền xu thay mặt khách hàng được phân vào nhóm 829200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thu thập hối phiếu, séc hoặc các loại hối phiếu khác để đổi lấy tiền mặt hoặc một khoản tiền gửi được phân vào nhóm 829100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thu thập các tài khoản hoặc nhận tiền dưới dạng chuyển nhượng tài khoản hoặc hợp đồng được phân vào nhóm 829100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liên ngành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Các khoản vay được cấp cho các trung gian tài chính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tiêu dùng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cấp các khoản cho vay cá nhân không cần thế chấp thông qua các thể chế tiền tệ</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việc cấp tín dụng theo một kế hoạch thanh toán đã được lập</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trong phạm vi hoạt động của tín dụng, dựa trên cam kết cho vay vốn với một số lượng nhất định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thế chấp quyền sử dụng đất hoặc nhà để ở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cấp tín dụng thông qua các thể chế tiền tệ dùng cho mục đích lấy các quyền sử dụng đất hoặc nhà để ở được sử dụng trong giao dịch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Vay ký quĩ nhà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định giá, phân vào nhóm 6820000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thế chấp quyền sử dụng đất hoặc nhà không để ở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thông qua các thể chế tiền tệ dùng cho mục đích lấy các quyền sử dụng đất hoặc nhà không để ở được sử dụng trong giao dịch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định giá, phân vào nhóm 6820000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không thế chấp thương mại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thông qua các thể chế tiền tệ đến các nhà đầu tư và môi giới, liên quan đến các thể chế tài chính, chính quyền địa phương, liên kết các trường học, chính phủ nước ngoài và các nhà kinh doanh khác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đối với cá nhân vì mục đích kinh doanh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dự trữ và các cam kết khác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đảm bảo và cung cấp thư tín dụng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chấp thuận thanh toán được thỏa thuận bởi một ngân hàng hoặc thể chế tài chính khác để trả một ngân phiếu hoặc một công cụ tín dụng được phát hành bởi một thể chế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thẻ tín dụng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Cấp tín dụng bởi các thể chế tiền tệ khi người nắm giữ một thẻ tín dụng sử dụng nó để mua hàng hóa hoặc dịch vụ, không tính đến việc cân đối phải hoàn thành vào cuối thời hạn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6419029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khác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khác bởi các thể chế tiền tệ chưa được phân vào đâu</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6419030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trung gian tiền tệ khác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64200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642000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6420000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của công ty nắm giữ tài sản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của các tổ chức nắm giữ tài sản của các công ty phụ thuộc và quản lý các công ty đó</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6430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64300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643000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6430000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của quỹ tín thác, các quỹ và các tổ chức tài chính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của các đơn vị pháp nhân được thành lập để góp chung chứng khoán và các tài sản tài chính khác, là đại diện của các cổ đông hay người hưởng lợi nhưng không tham gia quản lý.</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trung gian tài chính khác (trừ dịch vụ bảo hiểm và dịch vụ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6491000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cho thuê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cho thuê thiết bị và các tài sản khác cho khách hàng trong đó người cho thuê sẽ đầu tư chủ yếu theo yêu cầu của bên thuê và nắm giữ quyền sở hữu đối với thiết bị và phương tiện.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liên ngành,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Các khoản vay được cấp cho các trung gian tài chính không thông qua các thể chế tiền tệ. Dịch vụ này Gồm: việc phát ra và quản lý các khoản vay và các quyền lợi liên quan đến kinh doanh giữa các trung gian tài chính (như dịch vụ cấp tín dụng bán buôn giữa các công ty). Các khoản cấp tín dụng và các quyền lợi được cung cấp đến các trung gian tài chính trong nước và nước ngoài thường là trong ngắn hạn, trả theo nhu cầu hoặc sau khi có thông báo.</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tiêu dùng,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cấp các khoản cho vay cá nhân không cần thế chấp không thông qua các thể chế tiền tệ Gồm: việc cấp tín dụng theo một kế hoạch thanh toán đã được lập</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trong phạm vi hoạt động của tín dụng, dựa trên cam kết cho vay vốn với một số lượng nhất định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tiêu dùng, dịch vụ cho vay được kéo dài cho việc tiêu dùng hàng hóa và dịch vụ khi mà việc tiêu dùng hàng hóa thường được sử dụng như là một hình thức ký quỹ</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thế chấp quyền sử dụng đất hoặc nhà để ở,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không thông qua các thể chế tiền tệ dùng cho mục đích lấy các quyền sử dụng đất hoặc nhà để ở được sử dụng trong giao dịch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Vay ký quĩ nhà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định giá, phân vào nhóm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thế chấp quyền sử dụng đất hoặc nhà không để ở,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không thông qua các thể chế tiền tệ dùng cho mục đích lấy các quyền sử dụng đất hoặc nhà không để ở được sử dụng trong giao dịch Nhóm này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định giá, phân vào nhóm 6820000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phi thế chấp thương mại,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không thông qua các thể chế tiền tệ đến các nhà đầu tư và môi giới, liên quan đến các thể chế tài chính, chính quyền địa phương, liên kết các trường học, chính phủ nước ngoài và các nhà kinh doanh khác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đối với cá nhân vì mục đích kinh doanh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vay, dự trữ và các cam kết khác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đảm bảo và cung cấp thư tín dụng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chấp thuận thanh toán được thỏa thuận bởi một ngân hàng hoặc thể chế tài chính khác để trả một ngân phiếu hoặc một công cụ tín dụng được phát hành bởi một thể chế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5492006</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thẻ tín dụng, không phải bởi các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Cấp tín dụng không qua các thể chế tiền tệ khi người nắm giữ một thẻ tín dụng sử dụng nó để mua hàng hóa hoặc dịch vụ, không tính đến việc cân đối phải hoàn thành vào cuối thời hạn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6492009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cấp tín dụng khác, không phải bởi thể chế tiền tệ</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cấp tín dụng khác không qua các thể chế tiền tệ chưa được phân vào đâu</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tài chính bán hàng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6499</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64990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649900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tài chính khác chưa được phân vào đâu (trừ dịch vụ bảo hiểm và dịch vụ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6499001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ngân hàng đầu tư</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chứng khoán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đảm số lượng phát hành chứng khoán ở một mức giá nhất định từ lúc công ty hoặc chính phủ phát hành và bán lại cho nhà đầu tư</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Cam kết bán lượng phát hành chứng khoán nhiều ở mức có thể mà không cần bảo đảm mua toàn bộ lượng đề nghị của nhà đầu tư</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6499009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tài chính khác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tài chính khác chưa được phân vào đâu, như dịch vụ bảo đảm và cam kết - mua hoặc bán chứng khoán hoặc những phát sinh tài chính trong tài khoản riêng của những nhà môi giới chứng khoán...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tái bảo hiểm và bảo hiểm xã hội (trừ bảo hiểm xã hội bắt buộc)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nhân thọ</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nhân thọ trọn đời hoặc theo khoảng thời gian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bảo hiểm cung cấp việc bồi thường rủi ro cho người hưởng lợi tùy theo chính sách bảo hiểm trọn đời hay theo khoảng thời gian. Chính sách này có thể đơn thuần là việc bảo vệ hoặc có thể chỉ là một hình thức tiết kiệm. Chính sách này có thể áp dụng cho cá nhân hoặc một tổ chức.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niên kim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tử kỳ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sinh kỳ</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6511090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nhân thọ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Bảo hiểm hỗn hợp, bảo hiểm liên kết đầu tư...</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phi nhân thọ</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tài sản, thiệt hại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xe có động cơ</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tàu thủy, máy bay và phương tiện giao thông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6512019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tài sản và thiệt lại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hàng hóa vận chuyển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hàng hóa vận chuyển đường bộ</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5512022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hàng hóa vận chuyển đường thủy, hàng không và loại hình vận chuyển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6512029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hàng hóa vận chuyển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nông nghiệp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6512031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cây trồng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6512032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vật nuôi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6512039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nông nghiệp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6512040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xây dựng và lắp đặt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651205</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6512050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du lịch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651206</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6512060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tín dụng và bảo lãnh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651207</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trách nhiệm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6512071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trách nhiệm dân sự</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5612072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trách nhiệm chung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6512090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phi nhân thọ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các dịch vụ bảo hiểm phi nhân thọ khác chưa được phân vào đâu</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sức khỏe</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651310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6513100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y tế</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65139</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sức khỏe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nha khoa</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chi trả thường kỳ cho người được bảo hiểm không thể làm việc vì ốm đau</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651391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6513910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lang w:val="vi-VN"/>
              </w:rPr>
              <w:t>Bảo hiểm tai</w:t>
            </w:r>
            <w:r>
              <w:rPr>
                <w:rFonts w:ascii="Times New Roman" w:hAnsi="Times New Roman"/>
              </w:rPr>
              <w:t> </w:t>
            </w:r>
            <w:r>
              <w:rPr>
                <w:rFonts w:ascii="Times New Roman" w:hAnsi="Times New Roman"/>
                <w:lang w:val="vi-VN"/>
              </w:rPr>
              <w:t>nạn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cung cấp việc chi trả định kỳ khi người được bảo hiểm không thể làm việc vì lý do tai nạn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cung cấp việc bảo hiểm cho những tai nạn thương vong, việc chi trả sẽ được thực hiện trong trường hợp tai nạn gây ra tử vong hoặc mất đi một hoặc nhiều bộ phận cơ thể (như tay hoặc chân, mắt)</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 Dịch vụ bảo hiểm du lịch, được phân vào nhóm 6512050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651399</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6513990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Bảo hiểm sức khỏe khác trừ bảo hiểm tai nạn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cung cấp các chi phí bệnh viện và thuốc men không nằm trong chương trình của chính phủ và thường là các chi phí chăm sóc sức khỏe khác như thuốc kê đơn, ứng dụng y tế, cấp cứu, điều dưỡng tư nhân...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nha khoa</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hiểm chi trả thường kỳ cho người được bảo hiểm không thể làm việc vì ốm đau</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65200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652000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6520000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tái bảo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6530001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xã hội cá nhân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bảo hiểm chi theo thời kỳ đến cá nhân. Có thể là một sự phân phối đơn lẻ hoặc hàng loạt; có thể bắt buộc hoặc không bắt buộc, giá trị có thể được xác định danh 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6530002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hiểm xã hội nhóm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bảo hiểm chi theo thời kỳ đến các thành viên của nhóm. Có thể là một sự phân phối đơn lẻ hoặc hàng loạt; có thể bắt buộc hoặc không bắt buộc, giá trị có thể được xác định danh</w:t>
            </w:r>
            <w:r>
              <w:rPr>
                <w:rFonts w:ascii="Times New Roman" w:hAnsi="Times New Roman"/>
                <w:u w:val="single"/>
                <w:lang w:val="vi-VN"/>
              </w:rPr>
              <w:t> </w:t>
            </w:r>
            <w:r>
              <w:rPr>
                <w:rFonts w:ascii="Times New Roman" w:hAnsi="Times New Roman"/>
                <w:lang w:val="vi-VN"/>
              </w:rPr>
              <w:t>nghĩa hoặc theo thị trường; nếu liên quan đến việc làm - có thể hoặc không thể thay đổi việc làm. Thời kỳ mà người hưởng lợi được trả có thể được cố định ở mức tối thiểu hoặc tối đa; có hoặc không có trợ cấp cho người còn sống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tài chính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dịch vụ tài chính (trừ dịch vụ bảo hiểm và dịch vụ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liên quan đến quản lý thị trường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điều hành thị trường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hành chính bao gồm việc cung cấp mặt bằng và các phương tiện cần thiết khác cho hoạt động của giao dịch chứng khoán và hàng hóa</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điều tiết thị trường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điều chỉnh và kiểm soát thị trường tài chính và các thành viên trong thị trường này</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6611009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khác liên quan đến quản lý thị trường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cung cấp tin tức tài chính cho giới truyền thông, được phân vào nhóm 639010;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hộ chứng khoán, được phân vào nhóm 6619032</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66120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661200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môi giới hợp đồng hàng hóa và chứng khoán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6612001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môi giới chứng khoán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môi giới (người bán và người mua cùng đưa ra một công cụ) cho chứng khoán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hoạt động như một đại lý bán, cổ phần hoặc các lợi ích khác nằm trong quỹ chung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bán, phân phối và mua lại trái phiếu chính phủ</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Lựa chọn môi giới</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6612002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môi giới hàng hóa</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môi giới hàng hóa và hàng hóa trả sau gồm: cả hàng hóa tài chính trả sau...</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Lựa chọn môi giới, được phân vào 6612001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cho dịch vụ tài chính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xử lý và làm rõ các giao dịch chứng khoán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Dựa trên máy tính làm rõ và giải quyết các thay đổi của các khoản tiền gửi, tín dụng và giao dịch của chủ sở hữu chứng khoán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liên quan đến ngân hàng đầu tư</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thôn tính và sáp nhập</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 Dịch vụ hướng dẫn và thương lượng trong việc sắp xếp thôn tính và sáp nhập</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cung cấp vốn công ty và đầu tư vốn mạo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sắp xếp huy động vốn gồm: tiền gửi, vốn chủ sở hữu, vốn đầu tư mạo hiểm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huy động vốn mạo hiểm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6619029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liên quan đến ngân hàng đầu tư</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công bố giá cổ phiếu thông qua một nhà cung cấp thông tin, được phân vào nhóm 5819219</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cung cấp tin tức tài chính cho giới truyền thông, được phân vào nhóm 6391001</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ủy thác và bảo hộ, được phân vào nhóm 661903</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danh mục đầu tư, được phân vào nhóm 6630001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en-GB"/>
              </w:rPr>
            </w:pPr>
            <w:r>
              <w:rPr>
                <w:rFonts w:ascii="Times New Roman" w:hAnsi="Times New Roman"/>
                <w:lang w:val="en-GB"/>
              </w:rPr>
              <w:t>661903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ủy thác và bảo hộ</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6619031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ủy thác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và thực hiện việc đánh giá và ủy thác</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người được ủy thác đối với quỹ đầu tư hoặc quỹ bảo hiểm xã hội</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người được ủy thác đối với chứng khoán (dịch vụ hành chính liên quan đến việc phát hành và đăng ký chứng khoán, trả lãi suất và cổ tức)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quỹ được phân vào nhóm 663000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6619032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bảo hộ</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hướng dẫn, cung cấp dịch vụ bảo vệ hoặc việc tính toán về giá trị thu nhập bao hàm cả tài sản cá nhân và chứng khoán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vệ</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cất giữ ở nơi an toàn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bảo hộ chứng khoán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chứng thực kiểm toán trên cơ sở tôn trọng chứng khoán của khách</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661904</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cho dịch vụ tài chính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6619041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tư vấn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tài chính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phân tích và thu thập thông tin thị trường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thôn tính và sát nhập, được phân vào nhóm 6619021</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huy động tài chính và vốn mạo hiểm, được phân vào nhóm 6619022</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ủy thác và bảo hộ, được phân vào nhóm 661903</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bảo hiểm và bảo hiểm xã hội, được phân vào nhóm 6629009</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quỹ đầu tư, được phân vào nhóm 6630001</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các vấn đề về thuế, được phân vào nhóm 692003</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quản lý tài chính (trừ thuế kinh doanh), được phân vào nhóm 7020021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6619042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lang w:val="vi-VN"/>
              </w:rPr>
              <w:t>Dịch vụ hối</w:t>
            </w:r>
            <w:r>
              <w:rPr>
                <w:rFonts w:ascii="Times New Roman" w:hAnsi="Times New Roman"/>
              </w:rPr>
              <w:t> </w:t>
            </w:r>
            <w:r>
              <w:rPr>
                <w:rFonts w:ascii="Times New Roman" w:hAnsi="Times New Roman"/>
                <w:lang w:val="vi-VN"/>
              </w:rPr>
              <w:t>đoái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hối đoái cung cấp bởi đơn vị kinh doanh ngoại hối</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6619043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xử lý và thanh toán bù trừ các giao dịch tài chính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xử lý các giao dịch tài chính như việc xác minh các cân đối tài chính, cấp phép cho các giao dịch, chuyển tiền đến/từ các tài khoản của người giao dịch, khai báo với ngân hàng (hoặc nhà phát hành thẻ tín dụng) về các giao dịch cá nhân và cung cấp các bảng tóm tắt hàng ngày...</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xử lý giao dịch chứng khoán, được phân vào nhóm 6619010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6619049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cho dịch vụ tài chính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môi giới nợ và thế chấp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đóng gói tiền giấy và tiền xu, được phân vào nhóm 8292000</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bảo hiểm và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6621</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66210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662100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6621000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đánh giá rủi ro và thiệt hại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điều tra về những bồi thường bảo hiểm, xác định lượng mất hoặc hư hỏng theo như quy định của bảo hiểm và các điều khoản thương lượng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kiểm tra các bồi thường mà đã được kiểm tra hoặc được phép chi trả</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6622</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66220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662200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6622000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của đại lý và môi giới bảo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bán, thương lượng hoặc thu hút các chính sách bảo hiểm hàng năm và tái bảo hiểm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6629</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66290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662900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cho bảo hiểm và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6629001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thống kê bảo hiểm</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tính toán rủi ro bảo hiểm và phí bảo hiểm</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6629009</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hỗ trợ khác cho bảo hiểm và bảo hiểm xã hội chưa được phân vào đâu</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hành chính của bảo hiểm và bảo hiểm xã hội</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tiết kiệm hành chính</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bảo hiểm và bảo hiểm xã hội</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66300</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663000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quỹ</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6630001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danh mục đầu tư (loại trừ quĩ BHXH)</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Quản lý tài sản danh mục đầu tư của cá nhân, của các công ty..., trên cơ sở phí hoặc hợp đồng, trừ quỹ bảo hiểm xã hội. Nhà quản lý ra quyết định đầu tư mua hoặc bán. Ví dụ của quản lý danh mục đầu tư là các danh mục chung, các quỹ đầu tư khác hoặc ủy thác.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Việc mua hoặc bán chứng khoán trên cơ sở phí giao dịch, được phân vào nhóm 6612001</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tư vấn về kế hoạch tài chính cá nhân không liên quan đến việc ra quyết định thay mặt khách hàng, được phân vào nhóm 6619041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6630002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quĩ bảo hiểm xã hội</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L</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b/>
                <w:lang w:val="vi-VN"/>
              </w:rPr>
            </w:pPr>
            <w:r>
              <w:rPr>
                <w:rFonts w:ascii="Times New Roman" w:hAnsi="Times New Roman"/>
                <w:b/>
                <w:lang w:val="vi-VN"/>
              </w:rPr>
              <w:t>DỊCH VỤ KINH DOANH BẤT ĐỘNG SẢN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kinh doanh bất động sản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kinh doanh bất động sản, quyền sử dụng đất thuộc chủ sở hữu, chủ sử dụng hoặc đi thuê</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nhà ở và quyền sử dụng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nhà ở (chung cư, không gắn với quyền sử dụng đất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nhà ở gắn với quyền sử dụng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6810130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quyền sử dụng đất trống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bán và mua đất trống để ở trong trường hợp việc mua bán được xem là giao dịch cổ phiếu bởi người bán. Đất trống để ở này có thể gồm: nhiều lô đất nhỏ.</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Bất động sản phân lô theo cách rút thăm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Chia nhỏ hoặc cải tạo đất, được phân vào nhóm 4290024</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bottom"/>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nhà và quyền sử dụng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681021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6810210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mua, bán nhà gắn với QSD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bottom"/>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bán và mua nhà và đất không để ở trong trường hợp việc mua bán được xem là giao dịch cổ phiếu bởi người bán, không phải là bán tài sản cố định. Ví dụ về bất động sản không để ở:</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Nhà máy, văn phòng, nhà kho</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Nhà hát, các tòa nhà đa mục đích không phải để ở</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Bất động sản nông lâm nghiệp</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Bất động sản tương tự</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Nhóm này 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Xây bất động sản không để ở để bán, được phân vào nhóm 4100012</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681022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6810220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và mua quyền sử dụng đất trống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và mua quyền sử dụng đất trống không để ở mà việc bán được xem là giao dịch cổ phiếu của người bán. Đất trống này có thể Gồm: đất phân lô Bất động sản chia lô, không có cải tạo đất</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Cải tạo đất, được phân vào nhóm 431201</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bottom"/>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cho thuê, điều hành, quản lý nhà và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cho thuê nhà và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cho thuê bất động sản để ở bởi người chủ sở hữu hoặc người thuê theo hợp đồng cho người khác thuê:</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Nhà riêng, căn hộ</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Nhà sử dụng đa mục đích chủ yếu để ở</w:t>
            </w:r>
          </w:p>
          <w:p>
            <w:pPr>
              <w:pStyle w:val="TableContents"/>
              <w:pBdr/>
              <w:spacing w:lineRule="atLeast" w:line="225" w:before="120" w:after="120"/>
              <w:ind w:left="0" w:right="0" w:hanging="0"/>
              <w:rPr>
                <w:rFonts w:ascii="Times New Roman" w:hAnsi="Times New Roman"/>
              </w:rPr>
            </w:pPr>
            <w:r>
              <w:rPr>
                <w:rFonts w:ascii="Times New Roman" w:hAnsi="Times New Roman"/>
              </w:rPr>
              <w:t xml:space="preserve">• </w:t>
            </w:r>
            <w:r>
              <w:rPr>
                <w:rFonts w:ascii="Times New Roman" w:hAnsi="Times New Roman"/>
                <w:lang w:val="vi-VN"/>
              </w:rPr>
              <w:t>Không gian được</w:t>
            </w:r>
            <w:r>
              <w:rPr>
                <w:rFonts w:ascii="Times New Roman" w:hAnsi="Times New Roman"/>
              </w:rPr>
              <w:t> </w:t>
            </w:r>
            <w:r>
              <w:rPr>
                <w:rFonts w:ascii="Times New Roman" w:hAnsi="Times New Roman"/>
                <w:lang w:val="en-GB"/>
              </w:rPr>
              <w:t>s</w:t>
            </w:r>
            <w:r>
              <w:rPr>
                <w:rFonts w:ascii="Times New Roman" w:hAnsi="Times New Roman"/>
                <w:lang w:val="vi-VN"/>
              </w:rPr>
              <w:t>ở hữu theo thời gian</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nhà ở được cung cấp bởi khách sạn, nhà khách, nhà nghỉ, ký túc xá, được phân vào nhóm 55</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điều hành nhà và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6810330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nhà và đất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cho thuê, điều hành, quản lý nhà và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6810410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cho thuê nhà và quyền sử dụng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6810420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điều hành nhà và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681043</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6810430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nhà và đất không để ở</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kinh doanh bất động sản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681091</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đại lý bất động sản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lang w:val="en-GB"/>
              </w:rPr>
              <w:t>6</w:t>
            </w:r>
            <w:r>
              <w:rPr>
                <w:rFonts w:ascii="Times New Roman" w:hAnsi="Times New Roman"/>
                <w:lang w:val="vi-VN"/>
              </w:rPr>
              <w:t>810911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nhà kết hợp với quyền sử dụng đất để ở trên cơ sở phí hoặc hợp đồng trừ bất động sản chủ sở hữu sử dụng theo thời gian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các công ty bất động sản hoặc môi giới nhà liên quan đến bán nhà, căn hộ và các bất động sản để ở khác hoặc các dịch vụ trung gian tương tự liên quan đến mua, bán hoặc cho thuê nhà không để ở Gồm: cả quyền sử dụng đất, trên cơ sở phí hoặc hợp đồng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bán nhà chủ sở hữu sử dụng theo thời gian được phân vào nhóm 6810912</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6810912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nhà và quyền sử dụng đất sử dụng theo thời gian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các công ty bất động sản hoặc môi giới nhà liên quan đến bán nhà và quyền sử dụng đất theo thời gian</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6810913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quyền sử dụng đất để ở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các công ty bất động sản hoặc môi giới nhà liên quan đến bán quyền sử dụng đất để ở, và các dịch vụ tương tự liên quan đến mua, bán hoặc cho thuê, trên cơ sở phí hoặc hợp đồng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6810914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nhà và kết hợp với đất không để ở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các công ty bất động sản hoặc môi giới nhà liên quan đến nhà và đất không để ở như nhà máy, cửa hàng... và các dịch vụ trung gian tương tự liên quan đến mua, bán và cho thuê đất và nhà không để ở, trên cơ sở phí hoặc hợp đồng.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6810915</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bán quyền sử dụng đất trống không để ở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của các công ty bất động sản và môi giới nhà liên quan đến bán quyền sử dụng đất trống không để ở, và các dịch vụ trung gian tương tự liên quan đến mua, bán và cho thuê, trên cơ sở phí hoặc hợp đồng</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681092</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bất động sản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6810921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bất động sản để ở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nhà và bất động sản để ở khác, trên cơ sở phí hoặc hợp đồng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nhà chung cư đa chức năng (hoặc nhà đa mục đích mà mục đích chính là để ở)</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nhà di động</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tập trung cho thuê</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nhà ở trong cổ phần liên kết</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6810922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bất động sản theo thời gian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6810923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quản lý bất động sản không để ở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Gồm:</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bất động sản công nghiệp và thương mại, nhà sử dụng đa mục đích mà mục đích chủ yếu không phải để ở.</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liên quan đến bất động sản trong nông lâm nghiệp và tương tự</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Loại trừ:</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cung cấp các phương tiện (dịch vụ kết hợp như vệ sinh bên trong tòa nhà, duy trì và sửa chữa những lỗi nhỏ, thu gom rác thải, bảo vệ) được phân vào nhóm 8110000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Quản lý các cơ sở vật chất như căn cứ quân sự, nhà tù, và các cơ sở khác (trừ quản lý thiết bị máy tính), được phân vào nhóm 8110000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các phương tiện thể thao và thể thao giải trí, được phân vào nhóm 9311000</w:t>
            </w:r>
          </w:p>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 Dịch vụ quản lý khác</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tư vấn, môi giới, đấu giá bất động sản, đấu giá quyền sử dụng đất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tư vấn, môi giới bất động sản, quyền sử dụng đất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6820101</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tư vấn bất động sản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6820102</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môi giới bất động sản</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6820103</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đánh giá bất động sản trên cơ sở phí hoặc hợp đồng</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6820104</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thu phí giao dịch bất động sản khác</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Sàn giao dịch</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r>
        <w:trPr/>
        <w:tc>
          <w:tcPr>
            <w:tcW w:w="60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5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61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c>
          <w:tcPr>
            <w:tcW w:w="7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68202</w:t>
            </w:r>
          </w:p>
        </w:tc>
        <w:tc>
          <w:tcPr>
            <w:tcW w:w="80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682020</w:t>
            </w:r>
          </w:p>
        </w:tc>
        <w:tc>
          <w:tcPr>
            <w:tcW w:w="97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lang w:val="vi-VN"/>
              </w:rPr>
            </w:pPr>
            <w:r>
              <w:rPr>
                <w:rFonts w:ascii="Times New Roman" w:hAnsi="Times New Roman"/>
                <w:lang w:val="vi-VN"/>
              </w:rPr>
              <w:t>6820200</w:t>
            </w:r>
          </w:p>
        </w:tc>
        <w:tc>
          <w:tcPr>
            <w:tcW w:w="142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lang w:val="vi-VN"/>
              </w:rPr>
            </w:pPr>
            <w:r>
              <w:rPr>
                <w:rFonts w:ascii="Times New Roman" w:hAnsi="Times New Roman"/>
                <w:lang w:val="vi-VN"/>
              </w:rPr>
              <w:t>Dịch vụ đấu giá bất động sản, quyền sử dụng đất</w:t>
            </w:r>
          </w:p>
        </w:tc>
        <w:tc>
          <w:tcPr>
            <w:tcW w:w="15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Times New Roman" w:hAnsi="Times New Roman"/>
              </w:rPr>
            </w:pPr>
            <w:r>
              <w:rPr>
                <w:rFonts w:ascii="Times New Roman" w:hAnsi="Times New Roman"/>
              </w:rPr>
              <w:t> </w:t>
            </w:r>
          </w:p>
        </w:tc>
        <w:tc>
          <w:tcPr>
            <w:tcW w:w="144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rPr>
            </w:pPr>
            <w:r>
              <w:rPr>
                <w:rFonts w:ascii="Times New Roman" w:hAnsi="Times New Roman"/>
              </w:rPr>
              <w:t> </w:t>
            </w:r>
          </w:p>
        </w:tc>
      </w:tr>
    </w:tbl>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18"/>
          <w:lang w:val="vi-VN"/>
        </w:rPr>
      </w:pPr>
      <w:r>
        <w:rPr>
          <w:rFonts w:ascii="Times New Roman" w:hAnsi="Times New Roman"/>
          <w:b w:val="false"/>
          <w:i/>
          <w:caps w:val="false"/>
          <w:smallCaps w:val="false"/>
          <w:color w:val="000000"/>
          <w:spacing w:val="0"/>
          <w:sz w:val="18"/>
          <w:lang w:val="vi-VN"/>
        </w:rPr>
        <w:t>Ghi chú:</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18"/>
          <w:lang w:val="vi-VN"/>
        </w:rPr>
        <w:t>- Phụ lục Danh mục hàng hóa, dịch vụ không được giảm thuế giá trị gia tăng này là một phần của Phụ lục Danh mục và nội dung hệ thống ngành sản phẩm Việt Nam ban hành kèm theo Quyết định số </w:t>
      </w:r>
      <w:hyperlink r:id="rId2" w:tgtFrame="_blank">
        <w:r>
          <w:rPr>
            <w:rStyle w:val="InternetLink"/>
            <w:rFonts w:ascii="Times New Roman" w:hAnsi="Times New Roman"/>
            <w:b w:val="false"/>
            <w:i w:val="false"/>
            <w:caps w:val="false"/>
            <w:smallCaps w:val="false"/>
            <w:strike w:val="false"/>
            <w:dstrike w:val="false"/>
            <w:color w:val="0E70C3"/>
            <w:spacing w:val="0"/>
            <w:sz w:val="18"/>
            <w:u w:val="none"/>
            <w:effect w:val="none"/>
            <w:lang w:val="vi-VN"/>
          </w:rPr>
          <w:t>43/2018/QĐ-TTg</w:t>
        </w:r>
      </w:hyperlink>
      <w:r>
        <w:rPr>
          <w:rFonts w:ascii="Times New Roman" w:hAnsi="Times New Roman"/>
          <w:b w:val="false"/>
          <w:i w:val="false"/>
          <w:caps w:val="false"/>
          <w:smallCaps w:val="false"/>
          <w:color w:val="000000"/>
          <w:spacing w:val="0"/>
          <w:sz w:val="18"/>
          <w:lang w:val="vi-VN"/>
        </w:rPr>
        <w:t> ngày 01 tháng 11 năm 2018 của Thủ tướng Chính phủ về ban hành Hệ thống ngành sản phẩm Việt Nam.</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18"/>
          <w:lang w:val="vi-VN"/>
        </w:rPr>
        <w:t>- Mã số HS ở cột (10) chỉ để tra cứu. Việc xác định mã số HS đối với hàng hóa thực tế nhập khẩu thực hiện theo quy định về phân loại hàng hóa tại </w:t>
      </w:r>
      <w:hyperlink r:id="rId3" w:tgtFrame="_blank">
        <w:r>
          <w:rPr>
            <w:rStyle w:val="InternetLink"/>
            <w:rFonts w:ascii="Times New Roman" w:hAnsi="Times New Roman"/>
            <w:b w:val="false"/>
            <w:i w:val="false"/>
            <w:caps w:val="false"/>
            <w:smallCaps w:val="false"/>
            <w:strike w:val="false"/>
            <w:dstrike w:val="false"/>
            <w:color w:val="0E70C3"/>
            <w:spacing w:val="0"/>
            <w:sz w:val="18"/>
            <w:u w:val="none"/>
            <w:effect w:val="none"/>
            <w:lang w:val="vi-VN"/>
          </w:rPr>
          <w:t>Luật Hải quan</w:t>
        </w:r>
      </w:hyperlink>
      <w:r>
        <w:rPr>
          <w:rFonts w:ascii="Times New Roman" w:hAnsi="Times New Roman"/>
          <w:b w:val="false"/>
          <w:i w:val="false"/>
          <w:caps w:val="false"/>
          <w:smallCaps w:val="false"/>
          <w:color w:val="000000"/>
          <w:spacing w:val="0"/>
          <w:sz w:val="18"/>
          <w:lang w:val="vi-VN"/>
        </w:rPr>
        <w:t> và các văn bản quy phạm pháp luật hướng dẫn thi hành </w:t>
      </w:r>
      <w:hyperlink r:id="rId4" w:tgtFrame="_blank">
        <w:r>
          <w:rPr>
            <w:rStyle w:val="InternetLink"/>
            <w:rFonts w:ascii="Times New Roman" w:hAnsi="Times New Roman"/>
            <w:b w:val="false"/>
            <w:i w:val="false"/>
            <w:caps w:val="false"/>
            <w:smallCaps w:val="false"/>
            <w:strike w:val="false"/>
            <w:dstrike w:val="false"/>
            <w:color w:val="0E70C3"/>
            <w:spacing w:val="0"/>
            <w:sz w:val="18"/>
            <w:u w:val="none"/>
            <w:effect w:val="none"/>
            <w:lang w:val="vi-VN"/>
          </w:rPr>
          <w:t>Luật Hải quan</w:t>
        </w:r>
      </w:hyperlink>
      <w:r>
        <w:rPr>
          <w:rFonts w:ascii="Times New Roman" w:hAnsi="Times New Roman"/>
          <w:b w:val="false"/>
          <w:i w:val="false"/>
          <w:caps w:val="false"/>
          <w:smallCaps w:val="false"/>
          <w:color w:val="000000"/>
          <w:spacing w:val="0"/>
          <w:sz w:val="18"/>
          <w:lang w:val="vi-VN"/>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lang w:val="vi-VN"/>
        </w:rPr>
      </w:pPr>
      <w:r>
        <w:rPr>
          <w:rFonts w:ascii="Times New Roman" w:hAnsi="Times New Roman"/>
          <w:b w:val="false"/>
          <w:i w:val="false"/>
          <w:caps w:val="false"/>
          <w:smallCaps w:val="false"/>
          <w:color w:val="000000"/>
          <w:spacing w:val="0"/>
          <w:sz w:val="18"/>
          <w:lang w:val="vi-VN"/>
        </w:rPr>
        <w:t>- Các dòng hàng có ký hiệu (*) ở cột (10), thực hiện khai báo mã số HS theo thực tế hàng hóa nhập khẩu.</w:t>
      </w:r>
    </w:p>
    <w:p>
      <w:pPr>
        <w:pStyle w:val="Normal"/>
        <w:spacing w:before="0" w:after="120"/>
        <w:jc w:val="center"/>
        <w:rPr>
          <w:rFonts w:eastAsia="Times New Roman"/>
          <w:b/>
          <w:b/>
        </w:rPr>
      </w:pPr>
      <w:r>
        <w:rPr>
          <w:rFonts w:ascii="Times New Roman" w:hAnsi="Times New Roman"/>
        </w:rPr>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imSun">
    <w:charset w:val="00"/>
    <w:family w:val="roman"/>
    <w:pitch w:val="variable"/>
  </w:font>
  <w:font w:name=".VnTime">
    <w:charset w:val="00"/>
    <w:family w:val="roman"/>
    <w:pitch w:val="variable"/>
  </w:font>
  <w:font w:name="Arial">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71d47"/>
    <w:pPr>
      <w:widowControl/>
      <w:bidi w:val="0"/>
      <w:spacing w:lineRule="auto" w:line="240" w:before="0" w:after="0"/>
      <w:jc w:val="left"/>
    </w:pPr>
    <w:rPr>
      <w:rFonts w:ascii="Times New Roman" w:hAnsi="Times New Roman" w:eastAsia="SimSun" w:cs="Times New Roman"/>
      <w:color w:val="auto"/>
      <w:kern w:val="0"/>
      <w:sz w:val="24"/>
      <w:szCs w:val="24"/>
      <w:lang w:val="en-US" w:eastAsia="en-US" w:bidi="ar-SA"/>
    </w:rPr>
  </w:style>
  <w:style w:type="paragraph" w:styleId="Heading1">
    <w:name w:val="Heading 1"/>
    <w:basedOn w:val="Normal"/>
    <w:next w:val="Normal"/>
    <w:link w:val="Heading1Char"/>
    <w:uiPriority w:val="9"/>
    <w:qFormat/>
    <w:rsid w:val="003f5d7b"/>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Heading2">
    <w:name w:val="Heading 2"/>
    <w:basedOn w:val="Normal"/>
    <w:next w:val="Normal"/>
    <w:link w:val="Heading2Char"/>
    <w:uiPriority w:val="9"/>
    <w:semiHidden/>
    <w:unhideWhenUsed/>
    <w:qFormat/>
    <w:rsid w:val="00cd29c0"/>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Heading3">
    <w:name w:val="Heading 3"/>
    <w:basedOn w:val="Normal"/>
    <w:next w:val="Normal"/>
    <w:link w:val="Heading3Char"/>
    <w:uiPriority w:val="99"/>
    <w:qFormat/>
    <w:rsid w:val="00171d47"/>
    <w:pPr>
      <w:widowControl/>
      <w:bidi w:val="0"/>
      <w:spacing w:lineRule="auto" w:line="240" w:beforeAutospacing="1" w:afterAutospacing="1"/>
      <w:jc w:val="left"/>
      <w:outlineLvl w:val="2"/>
    </w:pPr>
    <w:rPr>
      <w:rFonts w:ascii="SimSun" w:hAnsi="SimSun" w:eastAsia="SimSun" w:cs="Times New Roman"/>
      <w:b/>
      <w:bCs/>
      <w:sz w:val="27"/>
      <w:szCs w:val="27"/>
      <w:lang w:eastAsia="zh-CN"/>
    </w:rPr>
  </w:style>
  <w:style w:type="paragraph" w:styleId="Heading4">
    <w:name w:val="Heading 4"/>
    <w:basedOn w:val="Normal"/>
    <w:next w:val="Normal"/>
    <w:link w:val="Heading4Char"/>
    <w:uiPriority w:val="9"/>
    <w:semiHidden/>
    <w:unhideWhenUsed/>
    <w:qFormat/>
    <w:rsid w:val="0066171c"/>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paragraph" w:styleId="Heading5">
    <w:name w:val="Heading 5"/>
    <w:basedOn w:val="Normal"/>
    <w:next w:val="Normal"/>
    <w:link w:val="Heading5Char"/>
    <w:uiPriority w:val="9"/>
    <w:semiHidden/>
    <w:unhideWhenUsed/>
    <w:qFormat/>
    <w:rsid w:val="00545842"/>
    <w:pPr>
      <w:keepNext w:val="true"/>
      <w:keepLines/>
      <w:spacing w:before="40" w:after="0"/>
      <w:outlineLvl w:val="4"/>
    </w:pPr>
    <w:rPr>
      <w:rFonts w:ascii="Calibri Light" w:hAnsi="Calibri Light" w:eastAsia="" w:cs="" w:asciiTheme="majorHAnsi" w:cstheme="majorBidi" w:eastAsiaTheme="majorEastAsia" w:hAnsiTheme="majorHAnsi"/>
      <w:color w:val="2E74B5" w:themeColor="accent1" w:themeShade="bf"/>
    </w:rPr>
  </w:style>
  <w:style w:type="character" w:styleId="DefaultParagraphFont" w:default="1">
    <w:name w:val="Default Paragraph Font"/>
    <w:uiPriority w:val="1"/>
    <w:semiHidden/>
    <w:unhideWhenUsed/>
    <w:qFormat/>
    <w:rPr/>
  </w:style>
  <w:style w:type="character" w:styleId="Heading3Char" w:customStyle="1">
    <w:name w:val="Heading 3 Char"/>
    <w:basedOn w:val="DefaultParagraphFont"/>
    <w:link w:val="Heading3"/>
    <w:uiPriority w:val="99"/>
    <w:qFormat/>
    <w:rsid w:val="00171d47"/>
    <w:rPr>
      <w:rFonts w:ascii="SimSun" w:hAnsi="SimSun" w:eastAsia="SimSun" w:cs="Times New Roman"/>
      <w:b/>
      <w:bCs/>
      <w:sz w:val="27"/>
      <w:szCs w:val="27"/>
      <w:lang w:eastAsia="zh-CN"/>
    </w:rPr>
  </w:style>
  <w:style w:type="character" w:styleId="Strong">
    <w:name w:val="Strong"/>
    <w:basedOn w:val="DefaultParagraphFont"/>
    <w:uiPriority w:val="22"/>
    <w:qFormat/>
    <w:rsid w:val="00171d47"/>
    <w:rPr>
      <w:b/>
      <w:bCs/>
    </w:rPr>
  </w:style>
  <w:style w:type="character" w:styleId="HeaderChar" w:customStyle="1">
    <w:name w:val="Header Char"/>
    <w:basedOn w:val="DefaultParagraphFont"/>
    <w:link w:val="Header"/>
    <w:uiPriority w:val="99"/>
    <w:qFormat/>
    <w:rsid w:val="00cd0c9d"/>
    <w:rPr>
      <w:rFonts w:ascii="Times New Roman" w:hAnsi="Times New Roman" w:eastAsia="SimSun" w:cs="Times New Roman"/>
      <w:sz w:val="24"/>
      <w:szCs w:val="24"/>
    </w:rPr>
  </w:style>
  <w:style w:type="character" w:styleId="FooterChar" w:customStyle="1">
    <w:name w:val="Footer Char"/>
    <w:basedOn w:val="DefaultParagraphFont"/>
    <w:link w:val="Footer"/>
    <w:uiPriority w:val="99"/>
    <w:qFormat/>
    <w:rsid w:val="00cd0c9d"/>
    <w:rPr>
      <w:rFonts w:ascii="Times New Roman" w:hAnsi="Times New Roman" w:eastAsia="SimSun" w:cs="Times New Roman"/>
      <w:sz w:val="24"/>
      <w:szCs w:val="24"/>
    </w:rPr>
  </w:style>
  <w:style w:type="character" w:styleId="Emphasis">
    <w:name w:val="Emphasis"/>
    <w:basedOn w:val="DefaultParagraphFont"/>
    <w:uiPriority w:val="20"/>
    <w:qFormat/>
    <w:rsid w:val="00726457"/>
    <w:rPr>
      <w:i/>
      <w:iCs/>
    </w:rPr>
  </w:style>
  <w:style w:type="character" w:styleId="Heading4Char" w:customStyle="1">
    <w:name w:val="Heading 4 Char"/>
    <w:basedOn w:val="DefaultParagraphFont"/>
    <w:link w:val="Heading4"/>
    <w:uiPriority w:val="9"/>
    <w:semiHidden/>
    <w:qFormat/>
    <w:rsid w:val="0066171c"/>
    <w:rPr>
      <w:rFonts w:ascii="Calibri Light" w:hAnsi="Calibri Light" w:eastAsia="" w:cs="" w:asciiTheme="majorHAnsi" w:cstheme="majorBidi" w:eastAsiaTheme="majorEastAsia" w:hAnsiTheme="majorHAnsi"/>
      <w:i/>
      <w:iCs/>
      <w:color w:val="2E74B5" w:themeColor="accent1" w:themeShade="bf"/>
      <w:sz w:val="24"/>
      <w:szCs w:val="24"/>
    </w:rPr>
  </w:style>
  <w:style w:type="character" w:styleId="Heading2Char" w:customStyle="1">
    <w:name w:val="Heading 2 Char"/>
    <w:basedOn w:val="DefaultParagraphFont"/>
    <w:link w:val="Heading2"/>
    <w:uiPriority w:val="9"/>
    <w:semiHidden/>
    <w:qFormat/>
    <w:rsid w:val="00cd29c0"/>
    <w:rPr>
      <w:rFonts w:ascii="Calibri Light" w:hAnsi="Calibri Light" w:eastAsia="" w:cs="" w:asciiTheme="majorHAnsi" w:cstheme="majorBidi" w:eastAsiaTheme="majorEastAsia" w:hAnsiTheme="majorHAnsi"/>
      <w:color w:val="2E74B5" w:themeColor="accent1" w:themeShade="bf"/>
      <w:sz w:val="26"/>
      <w:szCs w:val="26"/>
    </w:rPr>
  </w:style>
  <w:style w:type="character" w:styleId="Heading1Char" w:customStyle="1">
    <w:name w:val="Heading 1 Char"/>
    <w:basedOn w:val="DefaultParagraphFont"/>
    <w:link w:val="Heading1"/>
    <w:uiPriority w:val="9"/>
    <w:qFormat/>
    <w:rsid w:val="003f5d7b"/>
    <w:rPr>
      <w:rFonts w:ascii="Calibri Light" w:hAnsi="Calibri Light" w:eastAsia="" w:cs="" w:asciiTheme="majorHAnsi" w:cstheme="majorBidi" w:eastAsiaTheme="majorEastAsia" w:hAnsiTheme="majorHAnsi"/>
      <w:color w:val="2E74B5" w:themeColor="accent1" w:themeShade="bf"/>
      <w:sz w:val="32"/>
      <w:szCs w:val="32"/>
    </w:rPr>
  </w:style>
  <w:style w:type="character" w:styleId="BodyTextIndent2Char" w:customStyle="1">
    <w:name w:val="Body Text Indent 2 Char"/>
    <w:basedOn w:val="DefaultParagraphFont"/>
    <w:link w:val="BodyTextIndent2"/>
    <w:qFormat/>
    <w:rsid w:val="001e11f4"/>
    <w:rPr>
      <w:rFonts w:ascii=".VnTime" w:hAnsi=".VnTime" w:eastAsia="Times New Roman" w:cs="Times New Roman"/>
      <w:bCs/>
      <w:sz w:val="28"/>
      <w:szCs w:val="24"/>
    </w:rPr>
  </w:style>
  <w:style w:type="character" w:styleId="BodyTextChar" w:customStyle="1">
    <w:name w:val="Body Text Char"/>
    <w:basedOn w:val="DefaultParagraphFont"/>
    <w:link w:val="BodyText"/>
    <w:qFormat/>
    <w:rsid w:val="001e11f4"/>
    <w:rPr>
      <w:rFonts w:ascii="Arial" w:hAnsi="Arial" w:eastAsia="Times New Roman" w:cs="Times New Roman"/>
      <w:sz w:val="20"/>
      <w:szCs w:val="20"/>
    </w:rPr>
  </w:style>
  <w:style w:type="character" w:styleId="Heading5Char" w:customStyle="1">
    <w:name w:val="Heading 5 Char"/>
    <w:basedOn w:val="DefaultParagraphFont"/>
    <w:link w:val="Heading5"/>
    <w:uiPriority w:val="9"/>
    <w:semiHidden/>
    <w:qFormat/>
    <w:rsid w:val="00545842"/>
    <w:rPr>
      <w:rFonts w:ascii="Calibri Light" w:hAnsi="Calibri Light" w:eastAsia="" w:cs="" w:asciiTheme="majorHAnsi" w:cstheme="majorBidi" w:eastAsiaTheme="majorEastAsia" w:hAnsiTheme="majorHAnsi"/>
      <w:color w:val="2E74B5" w:themeColor="accent1" w:themeShade="bf"/>
      <w:sz w:val="24"/>
      <w:szCs w:val="24"/>
    </w:rPr>
  </w:style>
  <w:style w:type="character" w:styleId="InternetLink">
    <w:name w:val="Internet Link"/>
    <w:basedOn w:val="DefaultParagraphFont"/>
    <w:unhideWhenUsed/>
    <w:rsid w:val="00c75f9a"/>
    <w:rPr>
      <w:color w:val="0000FF"/>
      <w:u w:val="single"/>
    </w:rPr>
  </w:style>
  <w:style w:type="character" w:styleId="Textsm" w:customStyle="1">
    <w:name w:val="text-sm"/>
    <w:basedOn w:val="DefaultParagraphFont"/>
    <w:qFormat/>
    <w:rsid w:val="00c75f9a"/>
    <w:rPr/>
  </w:style>
  <w:style w:type="character" w:styleId="Overflowhidden" w:customStyle="1">
    <w:name w:val="overflow-hidden"/>
    <w:basedOn w:val="DefaultParagraphFont"/>
    <w:qFormat/>
    <w:rsid w:val="009e272d"/>
    <w:rPr/>
  </w:style>
  <w:style w:type="character" w:styleId="FootnoteTextChar" w:customStyle="1">
    <w:name w:val="Footnote Text Char"/>
    <w:basedOn w:val="DefaultParagraphFont"/>
    <w:link w:val="FootnoteText"/>
    <w:uiPriority w:val="99"/>
    <w:semiHidden/>
    <w:qFormat/>
    <w:rsid w:val="008e0032"/>
    <w:rPr>
      <w:rFonts w:ascii="Calibri" w:hAnsi="Calibri" w:eastAsia="Calibri" w:cs="Times New Roman"/>
      <w:sz w:val="20"/>
      <w:szCs w:val="20"/>
    </w:rPr>
  </w:style>
  <w:style w:type="character" w:styleId="FootnoteCharacters">
    <w:name w:val="Footnote Characters"/>
    <w:uiPriority w:val="99"/>
    <w:semiHidden/>
    <w:unhideWhenUsed/>
    <w:qFormat/>
    <w:rsid w:val="008e0032"/>
    <w:rPr>
      <w:vertAlign w:val="superscript"/>
    </w:rPr>
  </w:style>
  <w:style w:type="character" w:styleId="FootnoteAnchor">
    <w:name w:val="Footnote Anchor"/>
    <w:rPr>
      <w:vertAlign w:val="superscript"/>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rsid w:val="001e11f4"/>
    <w:pPr>
      <w:spacing w:before="0" w:after="120"/>
    </w:pPr>
    <w:rPr>
      <w:rFonts w:ascii="Arial" w:hAnsi="Arial" w:eastAsia="Times New Roman"/>
      <w:sz w:val="20"/>
      <w:szCs w:val="20"/>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uiPriority w:val="99"/>
    <w:unhideWhenUsed/>
    <w:qFormat/>
    <w:rsid w:val="00171d47"/>
    <w:pPr>
      <w:widowControl/>
      <w:bidi w:val="0"/>
      <w:spacing w:lineRule="auto" w:line="240" w:beforeAutospacing="1" w:afterAutospacing="1"/>
      <w:jc w:val="left"/>
    </w:pPr>
    <w:rPr>
      <w:rFonts w:ascii="Times New Roman" w:hAnsi="Times New Roman" w:eastAsia="SimSun" w:cs="Times New Roman"/>
      <w:color w:val="auto"/>
      <w:kern w:val="0"/>
      <w:sz w:val="24"/>
      <w:szCs w:val="24"/>
      <w:lang w:eastAsia="zh-CN" w:val="en-US" w:bidi="ar-SA"/>
    </w:rPr>
  </w:style>
  <w:style w:type="paragraph" w:styleId="Header">
    <w:name w:val="Header"/>
    <w:basedOn w:val="Normal"/>
    <w:link w:val="HeaderChar"/>
    <w:uiPriority w:val="99"/>
    <w:unhideWhenUsed/>
    <w:rsid w:val="00cd0c9d"/>
    <w:pPr>
      <w:tabs>
        <w:tab w:val="center" w:pos="4680" w:leader="none"/>
        <w:tab w:val="right" w:pos="9360" w:leader="none"/>
      </w:tabs>
    </w:pPr>
    <w:rPr/>
  </w:style>
  <w:style w:type="paragraph" w:styleId="Footer">
    <w:name w:val="Footer"/>
    <w:basedOn w:val="Normal"/>
    <w:link w:val="FooterChar"/>
    <w:uiPriority w:val="99"/>
    <w:unhideWhenUsed/>
    <w:rsid w:val="00cd0c9d"/>
    <w:pPr>
      <w:tabs>
        <w:tab w:val="center" w:pos="4680" w:leader="none"/>
        <w:tab w:val="right" w:pos="9360" w:leader="none"/>
      </w:tabs>
    </w:pPr>
    <w:rPr/>
  </w:style>
  <w:style w:type="paragraph" w:styleId="BodyTextIndent2">
    <w:name w:val="Body Text Indent 2"/>
    <w:basedOn w:val="Normal"/>
    <w:link w:val="BodyTextIndent2Char"/>
    <w:qFormat/>
    <w:rsid w:val="001e11f4"/>
    <w:pPr>
      <w:tabs>
        <w:tab w:val="left" w:pos="5760" w:leader="dot"/>
        <w:tab w:val="left" w:pos="8640" w:leader="dot"/>
      </w:tabs>
      <w:spacing w:lineRule="auto" w:line="360"/>
      <w:ind w:left="360" w:hanging="0"/>
      <w:jc w:val="both"/>
    </w:pPr>
    <w:rPr>
      <w:rFonts w:ascii=".VnTime" w:hAnsi=".VnTime" w:eastAsia="Times New Roman"/>
      <w:bCs/>
      <w:sz w:val="28"/>
    </w:rPr>
  </w:style>
  <w:style w:type="paragraph" w:styleId="ListParagraph">
    <w:name w:val="List Paragraph"/>
    <w:basedOn w:val="Normal"/>
    <w:uiPriority w:val="34"/>
    <w:qFormat/>
    <w:rsid w:val="007162aa"/>
    <w:pPr>
      <w:spacing w:before="0" w:after="0"/>
      <w:ind w:left="720" w:hanging="0"/>
      <w:contextualSpacing/>
    </w:pPr>
    <w:rPr/>
  </w:style>
  <w:style w:type="paragraph" w:styleId="Font600" w:customStyle="1">
    <w:name w:val="font-[600]"/>
    <w:basedOn w:val="Normal"/>
    <w:qFormat/>
    <w:rsid w:val="00c75f9a"/>
    <w:pPr>
      <w:spacing w:beforeAutospacing="1" w:afterAutospacing="1"/>
    </w:pPr>
    <w:rPr>
      <w:rFonts w:eastAsia="Times New Roman"/>
    </w:rPr>
  </w:style>
  <w:style w:type="paragraph" w:styleId="Footnote">
    <w:name w:val="Footnote Text"/>
    <w:basedOn w:val="Normal"/>
    <w:link w:val="FootnoteTextChar"/>
    <w:uiPriority w:val="99"/>
    <w:semiHidden/>
    <w:unhideWhenUsed/>
    <w:rsid w:val="008e0032"/>
    <w:pPr>
      <w:spacing w:lineRule="auto" w:line="259" w:before="0" w:after="160"/>
    </w:pPr>
    <w:rPr>
      <w:rFonts w:ascii="Calibri" w:hAnsi="Calibri" w:eastAsia="Calibri"/>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b749aa"/>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ong-mai/quyet-dinh-43-2018-qd-ttg-ban-hanh-he-thong-nganh-san-pham-viet-nam-399185.aspx" TargetMode="External"/><Relationship Id="rId3" Type="http://schemas.openxmlformats.org/officeDocument/2006/relationships/hyperlink" Target="https://thuvienphapluat.vn/van-ban/Thuong-mai/Luat-Hai-quan-2014-238637.aspx" TargetMode="External"/><Relationship Id="rId4" Type="http://schemas.openxmlformats.org/officeDocument/2006/relationships/hyperlink" Target="https://thuvienphapluat.vn/van-ban/Thuong-mai/Luat-Hai-quan-2014-238637.aspx"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1213</TotalTime>
  <Application>LibreOffice/6.0.4.2$Windows_x86 LibreOffice_project/9b0d9b32d5dcda91d2f1a96dc04c645c450872bf</Application>
  <Pages>77</Pages>
  <Words>10508</Words>
  <Characters>39761</Characters>
  <CharactersWithSpaces>51193</CharactersWithSpaces>
  <Paragraphs>3859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2024-10-07T10:04:00Z</dcterms:created>
  <dc:creator>PC</dc:creator>
  <dc:description/>
  <dc:language>vi-VN</dc:language>
  <cp:lastModifiedBy/>
  <dcterms:modified xsi:type="dcterms:W3CDTF">2026-05-27T15:37:13Z</dcterms:modified>
  <cp:revision>428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