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93" w:rsidRPr="00C00093" w:rsidRDefault="00C00093" w:rsidP="00C00093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bookmarkStart w:id="0" w:name="chuong_pl35"/>
      <w:proofErr w:type="spellStart"/>
      <w:r w:rsidRPr="00C00093">
        <w:rPr>
          <w:b/>
          <w:bCs/>
          <w:color w:val="000000"/>
          <w:sz w:val="26"/>
          <w:szCs w:val="26"/>
        </w:rPr>
        <w:t>Mẫu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số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TTLNH-35. </w:t>
      </w:r>
      <w:proofErr w:type="spellStart"/>
      <w:r w:rsidRPr="00C00093">
        <w:rPr>
          <w:b/>
          <w:bCs/>
          <w:color w:val="000000"/>
          <w:sz w:val="26"/>
          <w:szCs w:val="26"/>
        </w:rPr>
        <w:t>Đăng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ký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danh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sách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thay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đổi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các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thành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viên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tham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gia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dịch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vụ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quyết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toán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ròng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từ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các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hệ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thống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khác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00093" w:rsidRPr="00C00093" w:rsidTr="00C0009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b/>
                <w:bCs/>
                <w:color w:val="000000"/>
                <w:sz w:val="26"/>
                <w:szCs w:val="26"/>
              </w:rPr>
              <w:t>&lt;TÊN ĐƠN VỊ&gt;</w:t>
            </w:r>
            <w:r w:rsidRPr="00C00093">
              <w:rPr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00093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C00093" w:rsidRPr="00C00093" w:rsidTr="00C00093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00093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>:           /CV</w:t>
            </w:r>
            <w:r w:rsidRPr="00C00093">
              <w:rPr>
                <w:color w:val="000000"/>
                <w:sz w:val="26"/>
                <w:szCs w:val="26"/>
              </w:rPr>
              <w:br/>
              <w:t xml:space="preserve">V/v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ký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danh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sách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thay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đổi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tham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quyết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ròng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color w:val="000000"/>
                <w:sz w:val="26"/>
                <w:szCs w:val="26"/>
              </w:rPr>
              <w:t>khác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C00093">
              <w:rPr>
                <w:i/>
                <w:iCs/>
                <w:color w:val="000000"/>
                <w:sz w:val="26"/>
                <w:szCs w:val="26"/>
              </w:rPr>
              <w:t xml:space="preserve">……., </w:t>
            </w:r>
            <w:proofErr w:type="spellStart"/>
            <w:r w:rsidRPr="00C00093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00093">
              <w:rPr>
                <w:i/>
                <w:iCs/>
                <w:color w:val="000000"/>
                <w:sz w:val="26"/>
                <w:szCs w:val="26"/>
              </w:rPr>
              <w:t xml:space="preserve"> ….... </w:t>
            </w:r>
            <w:proofErr w:type="spellStart"/>
            <w:r w:rsidRPr="00C00093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00093">
              <w:rPr>
                <w:i/>
                <w:iCs/>
                <w:color w:val="000000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C00093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C00093">
              <w:rPr>
                <w:i/>
                <w:iCs/>
                <w:color w:val="000000"/>
                <w:sz w:val="26"/>
                <w:szCs w:val="26"/>
              </w:rPr>
              <w:t>…….</w:t>
            </w:r>
          </w:p>
        </w:tc>
      </w:tr>
    </w:tbl>
    <w:p w:rsidR="00C00093" w:rsidRP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C00093">
        <w:rPr>
          <w:b/>
          <w:bCs/>
          <w:color w:val="000000"/>
          <w:sz w:val="26"/>
          <w:szCs w:val="26"/>
        </w:rPr>
        <w:t>ĐĂNG KÝ DANH SÁCH THAY ĐỔI CÁC THÀNH VIÊN THAM GIA DỊCH VỤ QUYẾT TOÁN RÒNG TỪ CÁC HỆ THỐNG KHÁC</w:t>
      </w:r>
    </w:p>
    <w:p w:rsidR="00C00093" w:rsidRP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proofErr w:type="spellStart"/>
      <w:r w:rsidRPr="00C00093">
        <w:rPr>
          <w:b/>
          <w:bCs/>
          <w:color w:val="000000"/>
          <w:sz w:val="26"/>
          <w:szCs w:val="26"/>
        </w:rPr>
        <w:t>Kính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gửi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Pr="00C00093">
        <w:rPr>
          <w:b/>
          <w:bCs/>
          <w:color w:val="000000"/>
          <w:sz w:val="26"/>
          <w:szCs w:val="26"/>
        </w:rPr>
        <w:t>Ngân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hàng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Nhà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nước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Việt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Nam</w:t>
      </w:r>
    </w:p>
    <w:p w:rsidR="00C00093" w:rsidRP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C00093">
        <w:rPr>
          <w:color w:val="000000"/>
          <w:sz w:val="26"/>
          <w:szCs w:val="26"/>
        </w:rPr>
        <w:t>Mã</w:t>
      </w:r>
      <w:proofErr w:type="spellEnd"/>
      <w:r w:rsidRPr="00C00093">
        <w:rPr>
          <w:color w:val="000000"/>
          <w:sz w:val="26"/>
          <w:szCs w:val="26"/>
        </w:rPr>
        <w:t xml:space="preserve"> </w:t>
      </w:r>
      <w:proofErr w:type="spellStart"/>
      <w:r w:rsidRPr="00C00093">
        <w:rPr>
          <w:color w:val="000000"/>
          <w:sz w:val="26"/>
          <w:szCs w:val="26"/>
        </w:rPr>
        <w:t>đơn</w:t>
      </w:r>
      <w:proofErr w:type="spellEnd"/>
      <w:r w:rsidRPr="00C00093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00093">
        <w:rPr>
          <w:color w:val="000000"/>
          <w:sz w:val="26"/>
          <w:szCs w:val="26"/>
        </w:rPr>
        <w:t>vị</w:t>
      </w:r>
      <w:proofErr w:type="spellEnd"/>
      <w:r w:rsidRPr="00C00093">
        <w:rPr>
          <w:color w:val="000000"/>
          <w:sz w:val="26"/>
          <w:szCs w:val="26"/>
          <w:vertAlign w:val="superscript"/>
        </w:rPr>
        <w:t>(</w:t>
      </w:r>
      <w:proofErr w:type="gramEnd"/>
      <w:r w:rsidRPr="00C00093">
        <w:rPr>
          <w:color w:val="000000"/>
          <w:sz w:val="26"/>
          <w:szCs w:val="26"/>
          <w:vertAlign w:val="superscript"/>
        </w:rPr>
        <w:t>1)</w:t>
      </w:r>
      <w:r w:rsidRPr="00C00093">
        <w:rPr>
          <w:color w:val="000000"/>
          <w:sz w:val="26"/>
          <w:szCs w:val="26"/>
        </w:rPr>
        <w:t>:                                                       </w:t>
      </w:r>
      <w:proofErr w:type="spellStart"/>
      <w:r w:rsidRPr="00C00093">
        <w:rPr>
          <w:color w:val="000000"/>
          <w:sz w:val="26"/>
          <w:szCs w:val="26"/>
        </w:rPr>
        <w:t>Tên</w:t>
      </w:r>
      <w:proofErr w:type="spellEnd"/>
      <w:r w:rsidRPr="00C00093">
        <w:rPr>
          <w:color w:val="000000"/>
          <w:sz w:val="26"/>
          <w:szCs w:val="26"/>
        </w:rPr>
        <w:t xml:space="preserve"> </w:t>
      </w:r>
      <w:proofErr w:type="spellStart"/>
      <w:r w:rsidRPr="00C00093">
        <w:rPr>
          <w:color w:val="000000"/>
          <w:sz w:val="26"/>
          <w:szCs w:val="26"/>
        </w:rPr>
        <w:t>đơn</w:t>
      </w:r>
      <w:proofErr w:type="spellEnd"/>
      <w:r w:rsidRPr="00C00093">
        <w:rPr>
          <w:color w:val="000000"/>
          <w:sz w:val="26"/>
          <w:szCs w:val="26"/>
        </w:rPr>
        <w:t xml:space="preserve"> </w:t>
      </w:r>
      <w:proofErr w:type="spellStart"/>
      <w:r w:rsidRPr="00C00093">
        <w:rPr>
          <w:color w:val="000000"/>
          <w:sz w:val="26"/>
          <w:szCs w:val="26"/>
        </w:rPr>
        <w:t>vị</w:t>
      </w:r>
      <w:proofErr w:type="spellEnd"/>
      <w:r w:rsidRPr="00C00093">
        <w:rPr>
          <w:color w:val="000000"/>
          <w:sz w:val="26"/>
          <w:szCs w:val="26"/>
        </w:rPr>
        <w:t xml:space="preserve">:                       </w:t>
      </w:r>
      <w:proofErr w:type="spellStart"/>
      <w:r w:rsidRPr="00C00093">
        <w:rPr>
          <w:color w:val="000000"/>
          <w:sz w:val="26"/>
          <w:szCs w:val="26"/>
        </w:rPr>
        <w:t>Địa</w:t>
      </w:r>
      <w:proofErr w:type="spellEnd"/>
      <w:r w:rsidRPr="00C00093">
        <w:rPr>
          <w:color w:val="000000"/>
          <w:sz w:val="26"/>
          <w:szCs w:val="26"/>
        </w:rPr>
        <w:t xml:space="preserve"> </w:t>
      </w:r>
      <w:proofErr w:type="spellStart"/>
      <w:r w:rsidRPr="00C00093">
        <w:rPr>
          <w:color w:val="000000"/>
          <w:sz w:val="26"/>
          <w:szCs w:val="26"/>
        </w:rPr>
        <w:t>chỉ</w:t>
      </w:r>
      <w:proofErr w:type="spellEnd"/>
      <w:r w:rsidRPr="00C00093">
        <w:rPr>
          <w:color w:val="000000"/>
          <w:sz w:val="26"/>
          <w:szCs w:val="26"/>
        </w:rPr>
        <w:t>:</w:t>
      </w:r>
    </w:p>
    <w:p w:rsidR="00C00093" w:rsidRP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C00093">
        <w:rPr>
          <w:color w:val="000000"/>
          <w:sz w:val="26"/>
          <w:szCs w:val="26"/>
        </w:rPr>
        <w:t>Điện</w:t>
      </w:r>
      <w:proofErr w:type="spellEnd"/>
      <w:r w:rsidRPr="00C00093">
        <w:rPr>
          <w:color w:val="000000"/>
          <w:sz w:val="26"/>
          <w:szCs w:val="26"/>
        </w:rPr>
        <w:t xml:space="preserve"> </w:t>
      </w:r>
      <w:proofErr w:type="spellStart"/>
      <w:r w:rsidRPr="00C00093">
        <w:rPr>
          <w:color w:val="000000"/>
          <w:sz w:val="26"/>
          <w:szCs w:val="26"/>
        </w:rPr>
        <w:t>thoại</w:t>
      </w:r>
      <w:proofErr w:type="spellEnd"/>
      <w:r w:rsidRPr="00C00093">
        <w:rPr>
          <w:color w:val="000000"/>
          <w:sz w:val="26"/>
          <w:szCs w:val="26"/>
        </w:rPr>
        <w:t>:                                                          Fax:                                 Email:</w:t>
      </w:r>
    </w:p>
    <w:p w:rsidR="00C00093" w:rsidRP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C00093">
        <w:rPr>
          <w:b/>
          <w:bCs/>
          <w:color w:val="000000"/>
          <w:sz w:val="26"/>
          <w:szCs w:val="26"/>
        </w:rPr>
        <w:t xml:space="preserve">1- </w:t>
      </w:r>
      <w:proofErr w:type="spellStart"/>
      <w:r w:rsidRPr="00C00093">
        <w:rPr>
          <w:b/>
          <w:bCs/>
          <w:color w:val="000000"/>
          <w:sz w:val="26"/>
          <w:szCs w:val="26"/>
        </w:rPr>
        <w:t>Danh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sách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các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thành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viên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Hệ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thống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thanh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toán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điện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tử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liên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ngân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hàng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Quốc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gia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mới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tham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gia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dịch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vụ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quyết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toán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C00093">
        <w:rPr>
          <w:b/>
          <w:bCs/>
          <w:color w:val="000000"/>
          <w:sz w:val="26"/>
          <w:szCs w:val="26"/>
        </w:rPr>
        <w:t>ròng</w:t>
      </w:r>
      <w:proofErr w:type="spellEnd"/>
      <w:r w:rsidRPr="00C00093">
        <w:rPr>
          <w:color w:val="000000"/>
          <w:sz w:val="26"/>
          <w:szCs w:val="26"/>
          <w:vertAlign w:val="superscript"/>
        </w:rPr>
        <w:t>(</w:t>
      </w:r>
      <w:proofErr w:type="gramEnd"/>
      <w:r w:rsidRPr="00C00093">
        <w:rPr>
          <w:color w:val="000000"/>
          <w:sz w:val="26"/>
          <w:szCs w:val="26"/>
          <w:vertAlign w:val="superscript"/>
        </w:rPr>
        <w:t>2)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383"/>
        <w:gridCol w:w="2669"/>
        <w:gridCol w:w="3527"/>
      </w:tblGrid>
      <w:tr w:rsidR="00C00093" w:rsidRPr="00C00093" w:rsidTr="00C00093">
        <w:trPr>
          <w:trHeight w:val="20"/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Mã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kiến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C00093" w:rsidRPr="00C00093" w:rsidTr="00C00093">
        <w:trPr>
          <w:trHeight w:val="20"/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</w:tr>
      <w:tr w:rsidR="00C00093" w:rsidRPr="00C00093" w:rsidTr="00C00093">
        <w:trPr>
          <w:trHeight w:val="20"/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</w:tr>
      <w:tr w:rsidR="00C00093" w:rsidRPr="00C00093" w:rsidTr="00C00093">
        <w:trPr>
          <w:trHeight w:val="20"/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</w:tr>
    </w:tbl>
    <w:p w:rsidR="00C00093" w:rsidRP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C00093">
        <w:rPr>
          <w:b/>
          <w:bCs/>
          <w:color w:val="000000"/>
          <w:sz w:val="26"/>
          <w:szCs w:val="26"/>
        </w:rPr>
        <w:t xml:space="preserve">2- </w:t>
      </w:r>
      <w:proofErr w:type="spellStart"/>
      <w:r w:rsidRPr="00C00093">
        <w:rPr>
          <w:b/>
          <w:bCs/>
          <w:color w:val="000000"/>
          <w:sz w:val="26"/>
          <w:szCs w:val="26"/>
        </w:rPr>
        <w:t>Danh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sách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các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thành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viên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Hệ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thống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thanh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toán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điện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tử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liên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ngân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hàng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Quốc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gia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ngừng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tham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gia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dịch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vụ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quyết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toán</w:t>
      </w:r>
      <w:proofErr w:type="spellEnd"/>
      <w:r w:rsidRPr="00C0009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00093">
        <w:rPr>
          <w:b/>
          <w:bCs/>
          <w:color w:val="000000"/>
          <w:sz w:val="26"/>
          <w:szCs w:val="26"/>
        </w:rPr>
        <w:t>ròng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384"/>
        <w:gridCol w:w="2191"/>
        <w:gridCol w:w="4003"/>
      </w:tblGrid>
      <w:tr w:rsidR="00C00093" w:rsidRPr="00C00093" w:rsidTr="00C00093">
        <w:trPr>
          <w:trHeight w:val="20"/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Mã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kiến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ngừng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C00093" w:rsidRPr="00C00093" w:rsidTr="00C00093">
        <w:trPr>
          <w:trHeight w:val="20"/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</w:tr>
      <w:tr w:rsidR="00C00093" w:rsidRPr="00C00093" w:rsidTr="00C00093">
        <w:trPr>
          <w:trHeight w:val="20"/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</w:tr>
      <w:tr w:rsidR="00C00093" w:rsidRPr="00C00093" w:rsidTr="00C00093">
        <w:trPr>
          <w:trHeight w:val="20"/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00093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</w:tr>
    </w:tbl>
    <w:p w:rsidR="00C00093" w:rsidRPr="00C00093" w:rsidRDefault="00C00093" w:rsidP="00C00093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C00093" w:rsidRPr="00C00093" w:rsidTr="00C00093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93" w:rsidRPr="00C00093" w:rsidRDefault="00C00093">
            <w:pPr>
              <w:rPr>
                <w:sz w:val="26"/>
                <w:szCs w:val="26"/>
              </w:rPr>
            </w:pP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093" w:rsidRPr="00C00093" w:rsidRDefault="00C000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thẩm</w:t>
            </w:r>
            <w:proofErr w:type="spellEnd"/>
            <w:r w:rsidRPr="00C0009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b/>
                <w:bCs/>
                <w:color w:val="000000"/>
                <w:sz w:val="26"/>
                <w:szCs w:val="26"/>
              </w:rPr>
              <w:t>quyền</w:t>
            </w:r>
            <w:proofErr w:type="spellEnd"/>
            <w:r w:rsidRPr="00C00093">
              <w:rPr>
                <w:color w:val="000000"/>
                <w:sz w:val="26"/>
                <w:szCs w:val="26"/>
              </w:rPr>
              <w:br/>
            </w:r>
            <w:r w:rsidRPr="00C00093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C00093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C00093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00093">
              <w:rPr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C00093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0093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C00093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bCs/>
          <w:i/>
          <w:iCs/>
          <w:color w:val="000000"/>
          <w:sz w:val="26"/>
          <w:szCs w:val="26"/>
        </w:rPr>
      </w:pPr>
    </w:p>
    <w:p w:rsidR="00C00093" w:rsidRP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bookmarkStart w:id="1" w:name="_GoBack"/>
      <w:bookmarkEnd w:id="1"/>
      <w:r w:rsidRPr="00C00093">
        <w:rPr>
          <w:b/>
          <w:bCs/>
          <w:i/>
          <w:iCs/>
          <w:color w:val="000000"/>
          <w:sz w:val="26"/>
          <w:szCs w:val="26"/>
        </w:rPr>
        <w:lastRenderedPageBreak/>
        <w:t xml:space="preserve">Chú </w:t>
      </w:r>
      <w:proofErr w:type="spellStart"/>
      <w:r w:rsidRPr="00C00093">
        <w:rPr>
          <w:b/>
          <w:bCs/>
          <w:i/>
          <w:iCs/>
          <w:color w:val="000000"/>
          <w:sz w:val="26"/>
          <w:szCs w:val="26"/>
        </w:rPr>
        <w:t>thích</w:t>
      </w:r>
      <w:proofErr w:type="spellEnd"/>
      <w:r w:rsidRPr="00C00093">
        <w:rPr>
          <w:b/>
          <w:bCs/>
          <w:i/>
          <w:iCs/>
          <w:color w:val="000000"/>
          <w:sz w:val="26"/>
          <w:szCs w:val="26"/>
        </w:rPr>
        <w:t>:</w:t>
      </w:r>
    </w:p>
    <w:p w:rsidR="00C00093" w:rsidRPr="00C00093" w:rsidRDefault="00C00093" w:rsidP="00C00093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C00093">
        <w:rPr>
          <w:i/>
          <w:iCs/>
          <w:color w:val="000000"/>
          <w:sz w:val="26"/>
          <w:szCs w:val="26"/>
        </w:rPr>
        <w:t xml:space="preserve">- (1) </w:t>
      </w:r>
      <w:proofErr w:type="spellStart"/>
      <w:r w:rsidRPr="00C00093">
        <w:rPr>
          <w:i/>
          <w:iCs/>
          <w:color w:val="000000"/>
          <w:sz w:val="26"/>
          <w:szCs w:val="26"/>
        </w:rPr>
        <w:t>Mã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ngân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hàng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được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cấp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C00093">
        <w:rPr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quy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định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tại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Thông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tư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số</w:t>
      </w:r>
      <w:proofErr w:type="spellEnd"/>
      <w:r w:rsidRPr="00C00093">
        <w:rPr>
          <w:i/>
          <w:iCs/>
          <w:color w:val="000000"/>
          <w:sz w:val="26"/>
          <w:szCs w:val="26"/>
        </w:rPr>
        <w:t> </w:t>
      </w:r>
      <w:bookmarkStart w:id="2" w:name="tvpllink_bpwikoslvd_6"/>
      <w:r w:rsidRPr="00C00093">
        <w:rPr>
          <w:i/>
          <w:iCs/>
          <w:color w:val="000000"/>
          <w:sz w:val="26"/>
          <w:szCs w:val="26"/>
        </w:rPr>
        <w:fldChar w:fldCharType="begin"/>
      </w:r>
      <w:r w:rsidRPr="00C00093">
        <w:rPr>
          <w:i/>
          <w:iCs/>
          <w:color w:val="000000"/>
          <w:sz w:val="26"/>
          <w:szCs w:val="26"/>
        </w:rPr>
        <w:instrText xml:space="preserve"> HYPERLINK "https://thuvienphapluat.vn/van-ban/tien-te-ngan-hang/thong-tu-17-2015-tt-nhnn-he-thong-ma-ngan-hang-dung-trong-hoat-dong-nghiep-vu-ngan-hang-293538.aspx" \t "_blank" </w:instrText>
      </w:r>
      <w:r w:rsidRPr="00C00093">
        <w:rPr>
          <w:i/>
          <w:iCs/>
          <w:color w:val="000000"/>
          <w:sz w:val="26"/>
          <w:szCs w:val="26"/>
        </w:rPr>
        <w:fldChar w:fldCharType="separate"/>
      </w:r>
      <w:r w:rsidRPr="00C00093">
        <w:rPr>
          <w:rStyle w:val="Hyperlink"/>
          <w:i/>
          <w:iCs/>
          <w:color w:val="0E70C3"/>
          <w:sz w:val="26"/>
          <w:szCs w:val="26"/>
          <w:u w:val="none"/>
        </w:rPr>
        <w:t>17/2015/TT-NHNN</w:t>
      </w:r>
      <w:r w:rsidRPr="00C00093">
        <w:rPr>
          <w:i/>
          <w:iCs/>
          <w:color w:val="000000"/>
          <w:sz w:val="26"/>
          <w:szCs w:val="26"/>
        </w:rPr>
        <w:fldChar w:fldCharType="end"/>
      </w:r>
      <w:bookmarkEnd w:id="2"/>
      <w:r w:rsidRPr="00C00093">
        <w:rPr>
          <w:i/>
          <w:iCs/>
          <w:color w:val="000000"/>
          <w:sz w:val="26"/>
          <w:szCs w:val="26"/>
        </w:rPr>
        <w:t> </w:t>
      </w:r>
      <w:proofErr w:type="spellStart"/>
      <w:r w:rsidRPr="00C00093">
        <w:rPr>
          <w:i/>
          <w:iCs/>
          <w:color w:val="000000"/>
          <w:sz w:val="26"/>
          <w:szCs w:val="26"/>
        </w:rPr>
        <w:t>ngày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21/10/2015 </w:t>
      </w:r>
      <w:proofErr w:type="spellStart"/>
      <w:r w:rsidRPr="00C00093">
        <w:rPr>
          <w:i/>
          <w:iCs/>
          <w:color w:val="000000"/>
          <w:sz w:val="26"/>
          <w:szCs w:val="26"/>
        </w:rPr>
        <w:t>của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Thống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đốc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NHNN (</w:t>
      </w:r>
      <w:proofErr w:type="spellStart"/>
      <w:r w:rsidRPr="00C00093">
        <w:rPr>
          <w:i/>
          <w:iCs/>
          <w:color w:val="000000"/>
          <w:sz w:val="26"/>
          <w:szCs w:val="26"/>
        </w:rPr>
        <w:t>đã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được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sửa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đổi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C00093">
        <w:rPr>
          <w:i/>
          <w:iCs/>
          <w:color w:val="000000"/>
          <w:sz w:val="26"/>
          <w:szCs w:val="26"/>
        </w:rPr>
        <w:t>bổ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sung) </w:t>
      </w:r>
      <w:proofErr w:type="spellStart"/>
      <w:r w:rsidRPr="00C00093">
        <w:rPr>
          <w:i/>
          <w:iCs/>
          <w:color w:val="000000"/>
          <w:sz w:val="26"/>
          <w:szCs w:val="26"/>
        </w:rPr>
        <w:t>quy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định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về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hệ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thống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mã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ngân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hàng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dùng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trong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hoạt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động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C00093">
        <w:rPr>
          <w:i/>
          <w:iCs/>
          <w:color w:val="000000"/>
          <w:sz w:val="26"/>
          <w:szCs w:val="26"/>
        </w:rPr>
        <w:t>nghiệp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vụ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ngân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hàng</w:t>
      </w:r>
      <w:proofErr w:type="spellEnd"/>
      <w:r w:rsidRPr="00C00093">
        <w:rPr>
          <w:i/>
          <w:iCs/>
          <w:color w:val="000000"/>
          <w:sz w:val="26"/>
          <w:szCs w:val="26"/>
        </w:rPr>
        <w:t>.</w:t>
      </w:r>
    </w:p>
    <w:p w:rsidR="00C00093" w:rsidRPr="00C00093" w:rsidRDefault="00C00093" w:rsidP="00C0009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C00093">
        <w:rPr>
          <w:i/>
          <w:iCs/>
          <w:color w:val="000000"/>
          <w:sz w:val="26"/>
          <w:szCs w:val="26"/>
        </w:rPr>
        <w:t xml:space="preserve">- (2) </w:t>
      </w:r>
      <w:proofErr w:type="spellStart"/>
      <w:r w:rsidRPr="00C00093">
        <w:rPr>
          <w:i/>
          <w:iCs/>
          <w:color w:val="000000"/>
          <w:sz w:val="26"/>
          <w:szCs w:val="26"/>
        </w:rPr>
        <w:t>Kèm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theo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Văn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bản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thỏa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thuận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cam </w:t>
      </w:r>
      <w:proofErr w:type="spellStart"/>
      <w:r w:rsidRPr="00C00093">
        <w:rPr>
          <w:i/>
          <w:iCs/>
          <w:color w:val="000000"/>
          <w:sz w:val="26"/>
          <w:szCs w:val="26"/>
        </w:rPr>
        <w:t>kết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trước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của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Tổ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chức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chủ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trì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BTĐT </w:t>
      </w:r>
      <w:proofErr w:type="spellStart"/>
      <w:r w:rsidRPr="00C00093">
        <w:rPr>
          <w:i/>
          <w:iCs/>
          <w:color w:val="000000"/>
          <w:sz w:val="26"/>
          <w:szCs w:val="26"/>
        </w:rPr>
        <w:t>với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các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thành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viên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Hệ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thống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thanh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toán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điện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tử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liên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ngân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hàng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Quốc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gia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về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việc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thực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hiện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nghĩa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vụ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quyết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toán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bù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trừ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và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xác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nhận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của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Sở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Giao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dịch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NHNN </w:t>
      </w:r>
      <w:proofErr w:type="spellStart"/>
      <w:r w:rsidRPr="00C00093">
        <w:rPr>
          <w:i/>
          <w:iCs/>
          <w:color w:val="000000"/>
          <w:sz w:val="26"/>
          <w:szCs w:val="26"/>
        </w:rPr>
        <w:t>về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việc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thành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viên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đã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ký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quỹ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để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thiết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lập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hạn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mức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bù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trừ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điện</w:t>
      </w:r>
      <w:proofErr w:type="spellEnd"/>
      <w:r w:rsidRPr="00C00093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00093">
        <w:rPr>
          <w:i/>
          <w:iCs/>
          <w:color w:val="000000"/>
          <w:sz w:val="26"/>
          <w:szCs w:val="26"/>
        </w:rPr>
        <w:t>tử</w:t>
      </w:r>
      <w:proofErr w:type="spellEnd"/>
      <w:r w:rsidRPr="00C00093">
        <w:rPr>
          <w:i/>
          <w:iCs/>
          <w:color w:val="000000"/>
          <w:sz w:val="26"/>
          <w:szCs w:val="26"/>
        </w:rPr>
        <w:t>.</w:t>
      </w:r>
    </w:p>
    <w:p w:rsidR="00314AB0" w:rsidRPr="00C00093" w:rsidRDefault="00314AB0" w:rsidP="00C00093">
      <w:pPr>
        <w:rPr>
          <w:sz w:val="26"/>
          <w:szCs w:val="26"/>
        </w:rPr>
      </w:pPr>
    </w:p>
    <w:sectPr w:rsidR="00314AB0" w:rsidRPr="00C00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D06C4"/>
    <w:rsid w:val="004F243A"/>
    <w:rsid w:val="007B46A3"/>
    <w:rsid w:val="00815454"/>
    <w:rsid w:val="008D6AB8"/>
    <w:rsid w:val="009B52EF"/>
    <w:rsid w:val="009D65F4"/>
    <w:rsid w:val="00A728AA"/>
    <w:rsid w:val="00AD5DFE"/>
    <w:rsid w:val="00B0672C"/>
    <w:rsid w:val="00B25309"/>
    <w:rsid w:val="00BD1E10"/>
    <w:rsid w:val="00C00093"/>
    <w:rsid w:val="00CA3516"/>
    <w:rsid w:val="00E50534"/>
    <w:rsid w:val="00F3672E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F06B-A5CA-46DB-B8DF-A1AA0B6B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2024-07-05T02:52:00Z</dcterms:created>
  <dcterms:modified xsi:type="dcterms:W3CDTF">2024-07-22T04:06:00Z</dcterms:modified>
</cp:coreProperties>
</file>