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A1" w:rsidRPr="00D14602" w:rsidRDefault="00BC2FA1" w:rsidP="00BC2FA1">
      <w:pPr>
        <w:pStyle w:val="NormalWeb"/>
        <w:snapToGrid w:val="0"/>
        <w:spacing w:before="120"/>
        <w:jc w:val="right"/>
        <w:rPr>
          <w:rFonts w:ascii="Times New Roman" w:hAnsi="Times New Roman" w:cs="Times New Roman"/>
          <w:sz w:val="22"/>
        </w:rPr>
      </w:pPr>
      <w:r w:rsidRPr="00D14602">
        <w:rPr>
          <w:rFonts w:ascii="Times New Roman" w:hAnsi="Times New Roman" w:cs="Times New Roman"/>
          <w:b/>
          <w:bCs/>
          <w:sz w:val="22"/>
          <w:lang w:val="vi-VN"/>
        </w:rPr>
        <w:t>Mẫu số 4.3. Công bố thông tin trước đợt mua lại trái phiếu trước hạn</w:t>
      </w:r>
    </w:p>
    <w:tbl>
      <w:tblPr>
        <w:tblW w:w="0" w:type="auto"/>
        <w:tblCellMar>
          <w:left w:w="0" w:type="dxa"/>
          <w:right w:w="0" w:type="dxa"/>
        </w:tblCellMar>
        <w:tblLook w:val="04A0" w:firstRow="1" w:lastRow="0" w:firstColumn="1" w:lastColumn="0" w:noHBand="0" w:noVBand="1"/>
      </w:tblPr>
      <w:tblGrid>
        <w:gridCol w:w="3348"/>
        <w:gridCol w:w="5508"/>
      </w:tblGrid>
      <w:tr w:rsidR="00BC2FA1" w:rsidRPr="00D14602" w:rsidTr="007E1764">
        <w:tc>
          <w:tcPr>
            <w:tcW w:w="3348" w:type="dxa"/>
            <w:tcMar>
              <w:top w:w="0" w:type="dxa"/>
              <w:left w:w="108" w:type="dxa"/>
              <w:bottom w:w="0" w:type="dxa"/>
              <w:right w:w="108" w:type="dxa"/>
            </w:tcMar>
            <w:hideMark/>
          </w:tcPr>
          <w:p w:rsidR="00BC2FA1" w:rsidRPr="0096501C" w:rsidRDefault="00BC2FA1" w:rsidP="007E1764">
            <w:pPr>
              <w:pStyle w:val="NormalWeb"/>
              <w:spacing w:before="120"/>
              <w:jc w:val="center"/>
              <w:rPr>
                <w:rFonts w:ascii="Times New Roman" w:hAnsi="Times New Roman" w:cs="Times New Roman"/>
                <w:sz w:val="22"/>
              </w:rPr>
            </w:pPr>
            <w:r w:rsidRPr="0096501C">
              <w:rPr>
                <w:rFonts w:ascii="Times New Roman" w:hAnsi="Times New Roman" w:cs="Times New Roman"/>
                <w:b/>
                <w:bCs/>
                <w:sz w:val="22"/>
                <w:lang w:val="vi-VN"/>
              </w:rPr>
              <w:t>TÊN DOANH NGHIỆP</w:t>
            </w:r>
            <w:r w:rsidRPr="0096501C">
              <w:rPr>
                <w:rFonts w:ascii="Times New Roman" w:hAnsi="Times New Roman" w:cs="Times New Roman"/>
                <w:b/>
                <w:bCs/>
                <w:sz w:val="22"/>
                <w:lang w:val="vi-VN"/>
              </w:rPr>
              <w:br/>
              <w:t>-------</w:t>
            </w:r>
          </w:p>
        </w:tc>
        <w:tc>
          <w:tcPr>
            <w:tcW w:w="5508" w:type="dxa"/>
            <w:tcMar>
              <w:top w:w="0" w:type="dxa"/>
              <w:left w:w="108" w:type="dxa"/>
              <w:bottom w:w="0" w:type="dxa"/>
              <w:right w:w="108" w:type="dxa"/>
            </w:tcMar>
            <w:hideMark/>
          </w:tcPr>
          <w:p w:rsidR="00BC2FA1" w:rsidRPr="0096501C" w:rsidRDefault="00BC2FA1" w:rsidP="007E1764">
            <w:pPr>
              <w:pStyle w:val="NormalWeb"/>
              <w:spacing w:before="120"/>
              <w:jc w:val="center"/>
              <w:rPr>
                <w:rFonts w:ascii="Times New Roman" w:hAnsi="Times New Roman" w:cs="Times New Roman"/>
                <w:sz w:val="22"/>
              </w:rPr>
            </w:pPr>
            <w:r w:rsidRPr="0096501C">
              <w:rPr>
                <w:rFonts w:ascii="Times New Roman" w:hAnsi="Times New Roman" w:cs="Times New Roman"/>
                <w:b/>
                <w:bCs/>
                <w:sz w:val="22"/>
                <w:lang w:val="vi-VN"/>
              </w:rPr>
              <w:t>CỘNG HÒA XÃ HỘI CHỦ NGHĨA VIỆT NAM</w:t>
            </w:r>
            <w:r w:rsidRPr="0096501C">
              <w:rPr>
                <w:rFonts w:ascii="Times New Roman" w:hAnsi="Times New Roman" w:cs="Times New Roman"/>
                <w:b/>
                <w:bCs/>
                <w:sz w:val="22"/>
                <w:lang w:val="vi-VN"/>
              </w:rPr>
              <w:br/>
              <w:t xml:space="preserve">Độc lập - Tự do - Hạnh phúc </w:t>
            </w:r>
            <w:r w:rsidRPr="0096501C">
              <w:rPr>
                <w:rFonts w:ascii="Times New Roman" w:hAnsi="Times New Roman" w:cs="Times New Roman"/>
                <w:b/>
                <w:bCs/>
                <w:sz w:val="22"/>
                <w:lang w:val="vi-VN"/>
              </w:rPr>
              <w:br/>
              <w:t>---------------</w:t>
            </w:r>
          </w:p>
        </w:tc>
      </w:tr>
      <w:tr w:rsidR="00BC2FA1" w:rsidRPr="00D14602" w:rsidTr="007E1764">
        <w:tc>
          <w:tcPr>
            <w:tcW w:w="3348" w:type="dxa"/>
            <w:tcMar>
              <w:top w:w="0" w:type="dxa"/>
              <w:left w:w="108" w:type="dxa"/>
              <w:bottom w:w="0" w:type="dxa"/>
              <w:right w:w="108" w:type="dxa"/>
            </w:tcMar>
            <w:hideMark/>
          </w:tcPr>
          <w:p w:rsidR="00BC2FA1" w:rsidRPr="0096501C" w:rsidRDefault="00BC2FA1" w:rsidP="007E1764">
            <w:pPr>
              <w:pStyle w:val="NormalWeb"/>
              <w:snapToGrid w:val="0"/>
              <w:spacing w:before="120"/>
              <w:jc w:val="center"/>
              <w:rPr>
                <w:rFonts w:ascii="Times New Roman" w:hAnsi="Times New Roman" w:cs="Times New Roman"/>
                <w:sz w:val="22"/>
              </w:rPr>
            </w:pPr>
            <w:r w:rsidRPr="0096501C">
              <w:rPr>
                <w:rFonts w:ascii="Times New Roman" w:hAnsi="Times New Roman" w:cs="Times New Roman"/>
                <w:sz w:val="22"/>
                <w:lang w:val="vi-VN"/>
              </w:rPr>
              <w:t>Số: ......</w:t>
            </w:r>
          </w:p>
          <w:p w:rsidR="00BC2FA1" w:rsidRPr="0096501C" w:rsidRDefault="00BC2FA1" w:rsidP="007E1764">
            <w:pPr>
              <w:pStyle w:val="NormalWeb"/>
              <w:spacing w:before="120"/>
              <w:jc w:val="center"/>
              <w:rPr>
                <w:rFonts w:ascii="Times New Roman" w:hAnsi="Times New Roman" w:cs="Times New Roman"/>
                <w:sz w:val="22"/>
              </w:rPr>
            </w:pPr>
            <w:r w:rsidRPr="0096501C">
              <w:rPr>
                <w:rFonts w:ascii="Times New Roman" w:hAnsi="Times New Roman" w:cs="Times New Roman"/>
                <w:sz w:val="22"/>
                <w:lang w:val="vi-VN"/>
              </w:rPr>
              <w:t>V/v Công bố thông tin về đợt mua lại trái phiếu</w:t>
            </w:r>
          </w:p>
        </w:tc>
        <w:tc>
          <w:tcPr>
            <w:tcW w:w="5508" w:type="dxa"/>
            <w:tcMar>
              <w:top w:w="0" w:type="dxa"/>
              <w:left w:w="108" w:type="dxa"/>
              <w:bottom w:w="0" w:type="dxa"/>
              <w:right w:w="108" w:type="dxa"/>
            </w:tcMar>
            <w:hideMark/>
          </w:tcPr>
          <w:p w:rsidR="00BC2FA1" w:rsidRPr="0096501C" w:rsidRDefault="00BC2FA1" w:rsidP="007E1764">
            <w:pPr>
              <w:pStyle w:val="NormalWeb"/>
              <w:spacing w:before="120"/>
              <w:jc w:val="right"/>
              <w:rPr>
                <w:rFonts w:ascii="Times New Roman" w:hAnsi="Times New Roman" w:cs="Times New Roman"/>
                <w:sz w:val="22"/>
              </w:rPr>
            </w:pPr>
            <w:r w:rsidRPr="0096501C">
              <w:rPr>
                <w:rFonts w:ascii="Times New Roman" w:hAnsi="Times New Roman" w:cs="Times New Roman"/>
                <w:i/>
                <w:iCs/>
                <w:sz w:val="22"/>
                <w:lang w:val="nl-NL"/>
              </w:rPr>
              <w:t>...., ngày    tháng    năm ....</w:t>
            </w:r>
          </w:p>
        </w:tc>
      </w:tr>
    </w:tbl>
    <w:p w:rsidR="00BC2FA1" w:rsidRPr="0096501C"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rPr>
        <w:t> </w:t>
      </w:r>
    </w:p>
    <w:p w:rsidR="00BC2FA1" w:rsidRPr="00D14602" w:rsidRDefault="00BC2FA1" w:rsidP="00BC2FA1">
      <w:pPr>
        <w:pStyle w:val="NormalWeb"/>
        <w:snapToGrid w:val="0"/>
        <w:spacing w:before="120"/>
        <w:jc w:val="center"/>
        <w:rPr>
          <w:rFonts w:ascii="Times New Roman" w:hAnsi="Times New Roman" w:cs="Times New Roman"/>
          <w:sz w:val="22"/>
        </w:rPr>
      </w:pPr>
      <w:r w:rsidRPr="00D14602">
        <w:rPr>
          <w:rFonts w:ascii="Times New Roman" w:hAnsi="Times New Roman" w:cs="Times New Roman"/>
          <w:sz w:val="22"/>
          <w:lang w:val="vi-VN"/>
        </w:rPr>
        <w:t>Kính gửi: ........................................</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Căn cứ quy định tại Thông tư số 122/2020/TT-BTC ngày 31 tháng 12 năm 2020 của Bộ Tài chính hướng dẫn chế độ công bố thông tin và báo cáo theo quy định của Nghị định số 153/2020/NĐ-CP ngày 31 tháng 12 năm 2020 của Chính phủ quy định về chào bán, giao dịch trái phiếu doanh nghiệp riêng lẻ tại thị trường trong nước và chào bán trái phiếu doanh nghiệp ra thị trường quốc tế, (...tên Doanh nghiệp phát hành...) công bố thông tin về đợt mua lại trái phiếu trước hạn như sau:</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1. Thông tin doanh nghiệp</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 Tên doanh nghiệp:</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 Địa chỉ trụ sở chính, số điện thoại, số fax giao dịch, địa chỉ thư điện tử:</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 Loại hình doanh nghiệp:</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 Lĩnh vực hoạt động kinh doanh chính:</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2. Thông tin về đợt mua lại</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 Mã trái phiếu mua lại:</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 Phương thức tổ chức mua lại:</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 Khối lượng trái phiếu dự kiến mua lại (</w:t>
      </w:r>
      <w:r w:rsidRPr="00D14602">
        <w:rPr>
          <w:rFonts w:ascii="Times New Roman" w:hAnsi="Times New Roman" w:cs="Times New Roman"/>
          <w:i/>
          <w:iCs/>
          <w:sz w:val="22"/>
          <w:lang w:val="vi-VN"/>
        </w:rPr>
        <w:t>theo mệnh giá</w:t>
      </w:r>
      <w:r w:rsidRPr="00D14602">
        <w:rPr>
          <w:rFonts w:ascii="Times New Roman" w:hAnsi="Times New Roman" w:cs="Times New Roman"/>
          <w:sz w:val="22"/>
          <w:lang w:val="vi-VN"/>
        </w:rPr>
        <w:t>):</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 Điều kiện, điều khoản của trái phiếu được mua lại trước hạn:</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 Nguồn mua lại:</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 Thời gian dự kiến tổ chức mua lại:</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i/>
          <w:iCs/>
          <w:sz w:val="22"/>
          <w:lang w:val="vi-VN"/>
        </w:rPr>
        <w:t>(kèm theo Phương án mua lại đã được cấp có thẩm quyền phê duyệt)</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3. Các tổ chức tham gia đợt mua lại:</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sz w:val="22"/>
          <w:lang w:val="vi-VN"/>
        </w:rPr>
        <w:t>Nêu rõ địa chỉ trụ sở chính, số điện thoại, số fax giao dịch, địa chỉ thư điện tử của các tổ chức liên quan đến đợt mua lại: tổ chức đăng ký, lưu ký; tổ chức đại diện người sở hữu trái phiếu (nếu có); tổ chức quản lý tài sản đảm bảo (nếu có) ...</w:t>
      </w:r>
    </w:p>
    <w:p w:rsidR="00BC2FA1" w:rsidRPr="00D14602" w:rsidRDefault="00BC2FA1" w:rsidP="00BC2FA1">
      <w:pPr>
        <w:pStyle w:val="NormalWeb"/>
        <w:snapToGrid w:val="0"/>
        <w:spacing w:before="120"/>
        <w:rPr>
          <w:rFonts w:ascii="Times New Roman" w:hAnsi="Times New Roman" w:cs="Times New Roman"/>
          <w:sz w:val="22"/>
        </w:rPr>
      </w:pPr>
      <w:r w:rsidRPr="00D14602">
        <w:rPr>
          <w:rFonts w:ascii="Times New Roman" w:hAnsi="Times New Roman" w:cs="Times New Roman"/>
          <w:b/>
          <w:bCs/>
          <w:i/>
          <w:iCs/>
          <w:sz w:val="22"/>
          <w:lang w:val="vi-VN"/>
        </w:rPr>
        <w:t> </w:t>
      </w:r>
    </w:p>
    <w:tbl>
      <w:tblPr>
        <w:tblW w:w="0" w:type="auto"/>
        <w:tblCellMar>
          <w:left w:w="0" w:type="dxa"/>
          <w:right w:w="0" w:type="dxa"/>
        </w:tblCellMar>
        <w:tblLook w:val="04A0" w:firstRow="1" w:lastRow="0" w:firstColumn="1" w:lastColumn="0" w:noHBand="0" w:noVBand="1"/>
      </w:tblPr>
      <w:tblGrid>
        <w:gridCol w:w="4403"/>
        <w:gridCol w:w="4602"/>
      </w:tblGrid>
      <w:tr w:rsidR="00BC2FA1" w:rsidRPr="00D14602" w:rsidTr="007E1764">
        <w:trPr>
          <w:trHeight w:val="468"/>
        </w:trPr>
        <w:tc>
          <w:tcPr>
            <w:tcW w:w="4403" w:type="dxa"/>
            <w:tcMar>
              <w:top w:w="0" w:type="dxa"/>
              <w:left w:w="108" w:type="dxa"/>
              <w:bottom w:w="0" w:type="dxa"/>
              <w:right w:w="108" w:type="dxa"/>
            </w:tcMar>
            <w:hideMark/>
          </w:tcPr>
          <w:p w:rsidR="00BC2FA1" w:rsidRPr="0096501C" w:rsidRDefault="00BC2FA1" w:rsidP="007E1764">
            <w:pPr>
              <w:pStyle w:val="NormalWeb"/>
              <w:snapToGrid w:val="0"/>
              <w:spacing w:before="120"/>
              <w:rPr>
                <w:rFonts w:ascii="Times New Roman" w:hAnsi="Times New Roman" w:cs="Times New Roman"/>
                <w:sz w:val="22"/>
              </w:rPr>
            </w:pPr>
            <w:r w:rsidRPr="0096501C">
              <w:rPr>
                <w:rFonts w:ascii="Times New Roman" w:hAnsi="Times New Roman" w:cs="Times New Roman"/>
                <w:b/>
                <w:bCs/>
                <w:i/>
                <w:iCs/>
                <w:sz w:val="22"/>
                <w:lang w:val="vi-VN"/>
              </w:rPr>
              <w:t>Nơi nhận:</w:t>
            </w:r>
            <w:r w:rsidRPr="0096501C">
              <w:rPr>
                <w:rFonts w:ascii="Times New Roman" w:hAnsi="Times New Roman" w:cs="Times New Roman"/>
                <w:sz w:val="22"/>
              </w:rPr>
              <w:br/>
            </w:r>
            <w:r w:rsidRPr="0096501C">
              <w:rPr>
                <w:rFonts w:ascii="Times New Roman" w:hAnsi="Times New Roman" w:cs="Times New Roman"/>
                <w:sz w:val="22"/>
                <w:lang w:val="vi-VN"/>
              </w:rPr>
              <w:t xml:space="preserve">- </w:t>
            </w:r>
            <w:r w:rsidRPr="0096501C">
              <w:rPr>
                <w:rFonts w:ascii="Times New Roman" w:hAnsi="Times New Roman" w:cs="Times New Roman"/>
                <w:sz w:val="22"/>
              </w:rPr>
              <w:t>…</w:t>
            </w:r>
            <w:r w:rsidRPr="0096501C">
              <w:rPr>
                <w:rFonts w:ascii="Times New Roman" w:hAnsi="Times New Roman" w:cs="Times New Roman"/>
                <w:sz w:val="22"/>
              </w:rPr>
              <w:br/>
            </w:r>
            <w:r w:rsidRPr="0096501C">
              <w:rPr>
                <w:rFonts w:ascii="Times New Roman" w:hAnsi="Times New Roman" w:cs="Times New Roman"/>
                <w:sz w:val="22"/>
                <w:lang w:val="vi-VN"/>
              </w:rPr>
              <w:t>- Lưu: ...</w:t>
            </w:r>
          </w:p>
        </w:tc>
        <w:tc>
          <w:tcPr>
            <w:tcW w:w="4602" w:type="dxa"/>
            <w:tcMar>
              <w:top w:w="0" w:type="dxa"/>
              <w:left w:w="108" w:type="dxa"/>
              <w:bottom w:w="0" w:type="dxa"/>
              <w:right w:w="108" w:type="dxa"/>
            </w:tcMar>
            <w:hideMark/>
          </w:tcPr>
          <w:p w:rsidR="00BC2FA1" w:rsidRPr="0096501C" w:rsidRDefault="00BC2FA1" w:rsidP="007E1764">
            <w:pPr>
              <w:pStyle w:val="NormalWeb"/>
              <w:snapToGrid w:val="0"/>
              <w:spacing w:before="120"/>
              <w:jc w:val="center"/>
              <w:rPr>
                <w:rFonts w:ascii="Times New Roman" w:hAnsi="Times New Roman" w:cs="Times New Roman"/>
                <w:sz w:val="22"/>
              </w:rPr>
            </w:pPr>
            <w:r w:rsidRPr="0096501C">
              <w:rPr>
                <w:rFonts w:ascii="Times New Roman" w:hAnsi="Times New Roman" w:cs="Times New Roman"/>
                <w:b/>
                <w:bCs/>
                <w:sz w:val="22"/>
                <w:lang w:val="vi-VN"/>
              </w:rPr>
              <w:t>NGƯỜI ĐẠI DIỆN THEO PHÁP LUẬT HOẶC NGƯỜI ĐƯỢC ỦY QUYỀN</w:t>
            </w:r>
            <w:r w:rsidRPr="0096501C">
              <w:rPr>
                <w:rFonts w:ascii="Times New Roman" w:hAnsi="Times New Roman" w:cs="Times New Roman"/>
                <w:b/>
                <w:bCs/>
                <w:sz w:val="22"/>
              </w:rPr>
              <w:br/>
            </w:r>
            <w:r w:rsidRPr="0096501C">
              <w:rPr>
                <w:rFonts w:ascii="Times New Roman" w:hAnsi="Times New Roman" w:cs="Times New Roman"/>
                <w:i/>
                <w:iCs/>
                <w:sz w:val="22"/>
                <w:lang w:val="vi-VN"/>
              </w:rPr>
              <w:t>(Ký, ghi rõ họ tên, đóng dấu)</w:t>
            </w:r>
          </w:p>
        </w:tc>
      </w:tr>
    </w:tbl>
    <w:p w:rsidR="00E632FA" w:rsidRDefault="00E632FA">
      <w:bookmarkStart w:id="0" w:name="_GoBack"/>
      <w:bookmarkEnd w:id="0"/>
    </w:p>
    <w:sectPr w:rsidR="00E6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A1"/>
    <w:rsid w:val="00BC2FA1"/>
    <w:rsid w:val="00E6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BAC24-DD59-4453-908E-277F986F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A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Company>MTC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2022-12-06T15:06:00Z</dcterms:created>
  <dcterms:modified xsi:type="dcterms:W3CDTF">2022-12-06T15:07:00Z</dcterms:modified>
</cp:coreProperties>
</file>