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CA" w:rsidRPr="006252CA" w:rsidRDefault="006252CA" w:rsidP="006252CA">
      <w:pPr>
        <w:shd w:val="clear" w:color="auto" w:fill="FFFFFF"/>
        <w:spacing w:before="0" w:after="0" w:line="234" w:lineRule="atLeast"/>
        <w:jc w:val="right"/>
        <w:rPr>
          <w:rFonts w:eastAsia="Times New Roman"/>
          <w:color w:val="000000"/>
        </w:rPr>
      </w:pPr>
      <w:bookmarkStart w:id="0" w:name="chuong_pl_2"/>
      <w:r w:rsidRPr="006252CA">
        <w:rPr>
          <w:rFonts w:eastAsia="Times New Roman"/>
          <w:color w:val="000000"/>
        </w:rPr>
        <w:t>Biểu số 02</w:t>
      </w:r>
      <w:bookmarkEnd w:id="0"/>
    </w:p>
    <w:p w:rsidR="006252CA" w:rsidRPr="006252CA" w:rsidRDefault="006252CA" w:rsidP="006252CA">
      <w:pPr>
        <w:shd w:val="clear" w:color="auto" w:fill="FFFFFF"/>
        <w:spacing w:line="234" w:lineRule="atLeast"/>
        <w:jc w:val="left"/>
        <w:rPr>
          <w:rFonts w:eastAsia="Times New Roman"/>
          <w:color w:val="000000"/>
        </w:rPr>
      </w:pPr>
      <w:r w:rsidRPr="006252CA">
        <w:rPr>
          <w:rFonts w:eastAsia="Times New Roman"/>
          <w:color w:val="000000"/>
        </w:rPr>
        <w:t>SỞ LAO ĐỘNG - TBXH TỈNH, TP…………………</w:t>
      </w:r>
    </w:p>
    <w:p w:rsidR="006252CA" w:rsidRPr="006252CA" w:rsidRDefault="006252CA" w:rsidP="006252CA">
      <w:pPr>
        <w:shd w:val="clear" w:color="auto" w:fill="FFFFFF"/>
        <w:spacing w:before="0" w:after="0" w:line="234" w:lineRule="atLeast"/>
        <w:jc w:val="center"/>
        <w:rPr>
          <w:rFonts w:eastAsia="Times New Roman"/>
          <w:color w:val="000000"/>
        </w:rPr>
      </w:pPr>
      <w:bookmarkStart w:id="1" w:name="chuong_pl_2_name"/>
      <w:r w:rsidRPr="006252CA">
        <w:rPr>
          <w:rFonts w:eastAsia="Times New Roman"/>
          <w:b/>
          <w:bCs/>
          <w:color w:val="000000"/>
        </w:rPr>
        <w:t>BÁO CÁO TÌNH HÌNH TẶNG QUÀ CHỦ TỊCH NƯỚC CHO ĐỐI TƯỢNG NGƯỜI CÓ CÔNG VỚI CÁCH MẠNG NHÂN NGÀY THƯƠNG BINH, LIỆT SĨ 27/7/2024</w:t>
      </w:r>
      <w:bookmarkEnd w:id="1"/>
    </w:p>
    <w:tbl>
      <w:tblPr>
        <w:tblW w:w="5000" w:type="pct"/>
        <w:tblCellSpacing w:w="0" w:type="dxa"/>
        <w:shd w:val="clear" w:color="auto" w:fill="FFFFFF"/>
        <w:tblCellMar>
          <w:left w:w="0" w:type="dxa"/>
          <w:right w:w="0" w:type="dxa"/>
        </w:tblCellMar>
        <w:tblLook w:val="04A0"/>
      </w:tblPr>
      <w:tblGrid>
        <w:gridCol w:w="480"/>
        <w:gridCol w:w="6139"/>
        <w:gridCol w:w="1343"/>
        <w:gridCol w:w="1438"/>
      </w:tblGrid>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b/>
                <w:bCs/>
                <w:color w:val="000000"/>
              </w:rPr>
              <w:t>TT</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b/>
                <w:bCs/>
                <w:color w:val="000000"/>
              </w:rPr>
              <w:t>LOẠI ĐỐI TƯỢNG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b/>
                <w:bCs/>
                <w:color w:val="000000"/>
              </w:rPr>
              <w:t>SỐ NGƯỜI</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b/>
                <w:bCs/>
                <w:color w:val="000000"/>
              </w:rPr>
              <w:t>SỐ TIỀN</w:t>
            </w: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b/>
                <w:bCs/>
                <w:color w:val="000000"/>
              </w:rPr>
              <w:t>I</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b/>
                <w:bCs/>
                <w:color w:val="000000"/>
              </w:rPr>
              <w:t>Mức quà 600.000 đồng để tặng đối với các đối tượng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1</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Bà mẹ Việt Nam anh hùng đang hưởng trợ cấp ưu đãi hàng tháng và những cá nhân đã có quyết định phong tặng danh hiệu Bà mẹ Việt Nam Anh hùng trước ngày 28/7/2024 nhưng chưa hoàn tất thủ tục hưởng trợ cấp ưu đãi hàng tháng.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2</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Thương binh, người hưởng chính sách như thương binh, thương binh loại B, bệnh binh có tỷ lệ tổn thương cơ thể từ 81% trở lên đang hưởng trợ cấp ưu đãi hàng tháng.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3</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Người hoạt động kháng chiến bị nhiễm chất độc hóa học có tỷ lệ tổn thương cơ thể từ 81% trở lên đang hưởng trợ cấp ưu đãi hàng tháng.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4</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Thân nhân liệt sĩ đang hưởng trợ cấp tuất nuôi dưỡng hàng tháng; thân nhân của hai liệt sĩ trở lên đang hưởng trợ cấp tuất hàng tháng.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b/>
                <w:bCs/>
                <w:color w:val="000000"/>
              </w:rPr>
              <w:t>II</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b/>
                <w:bCs/>
                <w:color w:val="000000"/>
              </w:rPr>
              <w:t>Mức quà 300.000 đồng để tặng đối với các đối tượng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1</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Thương binh, người hưởng chính sách như thương binh, thương binh loại B, bệnh binh có tỷ lệ tổn thương cơ thể từ 80% trở xuống đang hưởng trợ cấp ưu đãi hàng tháng. Thương binh đang hưởng chế độ mất sức lao động.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2</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Người hoạt động kháng chiến bị nhiễm chất độc hóa học có tỷ lệ tổn thương cơ thể từ 80% trở xuống đang hưởng trợ cấp ưu đãi hàng tháng.</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3</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Đại diện thân nhân liệt sĩ.</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color w:val="000000"/>
              </w:rPr>
              <w:t>4</w:t>
            </w:r>
          </w:p>
        </w:tc>
        <w:tc>
          <w:tcPr>
            <w:tcW w:w="32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line="234" w:lineRule="atLeast"/>
              <w:jc w:val="left"/>
              <w:rPr>
                <w:rFonts w:eastAsia="Times New Roman"/>
                <w:color w:val="000000"/>
              </w:rPr>
            </w:pPr>
            <w:r w:rsidRPr="006252CA">
              <w:rPr>
                <w:rFonts w:eastAsia="Times New Roman"/>
                <w:color w:val="000000"/>
              </w:rPr>
              <w:t>Người thờ cúng liệt sĩ (trường hợp liệt sĩ không còn thân nhân).</w:t>
            </w:r>
          </w:p>
        </w:tc>
        <w:tc>
          <w:tcPr>
            <w:tcW w:w="700" w:type="pct"/>
            <w:tcBorders>
              <w:top w:val="single" w:sz="8" w:space="0" w:color="auto"/>
              <w:left w:val="single" w:sz="8" w:space="0" w:color="auto"/>
              <w:bottom w:val="nil"/>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r w:rsidR="006252CA" w:rsidRPr="006252CA" w:rsidTr="006252CA">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3200" w:type="pct"/>
            <w:tcBorders>
              <w:top w:val="single" w:sz="8" w:space="0" w:color="auto"/>
              <w:left w:val="single" w:sz="8" w:space="0" w:color="auto"/>
              <w:bottom w:val="single" w:sz="8" w:space="0" w:color="auto"/>
              <w:right w:val="nil"/>
            </w:tcBorders>
            <w:shd w:val="clear" w:color="auto" w:fill="auto"/>
            <w:vAlign w:val="center"/>
            <w:hideMark/>
          </w:tcPr>
          <w:p w:rsidR="006252CA" w:rsidRPr="006252CA" w:rsidRDefault="006252CA" w:rsidP="006252CA">
            <w:pPr>
              <w:spacing w:line="234" w:lineRule="atLeast"/>
              <w:jc w:val="center"/>
              <w:rPr>
                <w:rFonts w:eastAsia="Times New Roman"/>
                <w:color w:val="000000"/>
              </w:rPr>
            </w:pPr>
            <w:r w:rsidRPr="006252CA">
              <w:rPr>
                <w:rFonts w:eastAsia="Times New Roman"/>
                <w:b/>
                <w:bCs/>
                <w:color w:val="000000"/>
              </w:rPr>
              <w:t>Cộng</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252CA" w:rsidRPr="006252CA" w:rsidRDefault="006252CA" w:rsidP="006252CA">
            <w:pPr>
              <w:spacing w:before="0" w:after="0" w:line="240" w:lineRule="auto"/>
              <w:jc w:val="left"/>
              <w:rPr>
                <w:rFonts w:eastAsia="Times New Roman"/>
                <w:color w:val="000000"/>
              </w:rPr>
            </w:pPr>
          </w:p>
        </w:tc>
      </w:tr>
    </w:tbl>
    <w:p w:rsidR="006252CA" w:rsidRPr="006252CA" w:rsidRDefault="006252CA" w:rsidP="006252CA">
      <w:pPr>
        <w:spacing w:before="0" w:after="0" w:line="240" w:lineRule="auto"/>
        <w:jc w:val="left"/>
        <w:rPr>
          <w:rFonts w:eastAsia="Times New Roman"/>
          <w:vanish/>
        </w:rPr>
      </w:pPr>
    </w:p>
    <w:p w:rsidR="00A71A13" w:rsidRPr="006252CA" w:rsidRDefault="00A71A13"/>
    <w:sectPr w:rsidR="00A71A13" w:rsidRPr="006252CA"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252CA"/>
    <w:rsid w:val="000F172E"/>
    <w:rsid w:val="006252CA"/>
    <w:rsid w:val="00697551"/>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2CA"/>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31101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Company>Grizli777</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2024-07-19T09:36:00Z</dcterms:created>
  <dcterms:modified xsi:type="dcterms:W3CDTF">2024-07-19T09:36:00Z</dcterms:modified>
</cp:coreProperties>
</file>